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rPr>
      </w:pPr>
    </w:p>
    <w:p>
      <w:pPr>
        <w:spacing w:line="360" w:lineRule="auto"/>
        <w:jc w:val="center"/>
        <w:rPr>
          <w:rFonts w:hint="default" w:ascii="Times New Roman" w:hAnsi="Times New Roman" w:eastAsia="仿宋_GB2312" w:cs="Times New Roman"/>
          <w:sz w:val="28"/>
          <w:szCs w:val="28"/>
        </w:rPr>
      </w:pPr>
      <w:r>
        <w:rPr>
          <w:rFonts w:hint="eastAsia" w:ascii="Times New Roman" w:hAnsi="Times New Roman" w:cs="Times New Roman"/>
          <w:b/>
          <w:bCs/>
          <w:sz w:val="28"/>
          <w:szCs w:val="28"/>
          <w:lang w:eastAsia="zh-CN"/>
        </w:rPr>
        <w:t>中国石化销售股份有限公司湖北咸宁石油分公司</w:t>
      </w:r>
      <w:r>
        <w:rPr>
          <w:rFonts w:hint="eastAsia" w:ascii="Times New Roman" w:hAnsi="Times New Roman" w:cs="Times New Roman"/>
          <w:b/>
          <w:sz w:val="28"/>
          <w:szCs w:val="28"/>
          <w:lang w:eastAsia="zh-CN"/>
        </w:rPr>
        <w:t>嘉鱼南一加油站（东站）建设</w:t>
      </w:r>
      <w:r>
        <w:rPr>
          <w:rFonts w:hint="default" w:ascii="Times New Roman" w:hAnsi="Times New Roman" w:cs="Times New Roman"/>
          <w:b/>
          <w:sz w:val="28"/>
          <w:szCs w:val="28"/>
        </w:rPr>
        <w:t>项目竣工环境保护验收意见</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sz w:val="24"/>
        </w:rPr>
        <w:t>20</w:t>
      </w:r>
      <w:r>
        <w:rPr>
          <w:rFonts w:hint="default" w:ascii="Times New Roman" w:hAnsi="Times New Roman" w:cs="Times New Roman"/>
          <w:sz w:val="24"/>
          <w:lang w:val="en-US" w:eastAsia="zh-CN"/>
        </w:rPr>
        <w:t>20</w:t>
      </w:r>
      <w:r>
        <w:rPr>
          <w:rFonts w:hint="default" w:ascii="Times New Roman" w:hAnsi="Times New Roman" w:cs="Times New Roman"/>
          <w:sz w:val="24"/>
        </w:rPr>
        <w:t>年</w:t>
      </w:r>
      <w:r>
        <w:rPr>
          <w:rFonts w:hint="default" w:ascii="Times New Roman" w:hAnsi="Times New Roman" w:cs="Times New Roman"/>
          <w:sz w:val="24"/>
          <w:lang w:val="en-US" w:eastAsia="zh-CN"/>
        </w:rPr>
        <w:t>6</w:t>
      </w:r>
      <w:r>
        <w:rPr>
          <w:rFonts w:hint="default" w:ascii="Times New Roman" w:hAnsi="Times New Roman" w:cs="Times New Roman"/>
          <w:sz w:val="24"/>
        </w:rPr>
        <w:t>月</w:t>
      </w:r>
      <w:r>
        <w:rPr>
          <w:rFonts w:hint="eastAsia" w:ascii="Times New Roman" w:hAnsi="Times New Roman" w:cs="Times New Roman"/>
          <w:color w:val="000000" w:themeColor="text1"/>
          <w:sz w:val="24"/>
          <w:lang w:val="en-US" w:eastAsia="zh-CN"/>
          <w14:textFill>
            <w14:solidFill>
              <w14:schemeClr w14:val="tx1"/>
            </w14:solidFill>
          </w14:textFill>
        </w:rPr>
        <w:t>24</w:t>
      </w:r>
      <w:r>
        <w:rPr>
          <w:rFonts w:hint="default" w:ascii="Times New Roman" w:hAnsi="Times New Roman" w:cs="Times New Roman"/>
          <w:sz w:val="24"/>
        </w:rPr>
        <w:t>日，</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sz w:val="24"/>
        </w:rPr>
        <w:t>组织成立了验收工作组，参加验收现场检查的单位有</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sz w:val="24"/>
        </w:rPr>
        <w:t>（建设单位）、湖北省公信检测服务有限公司（验收监测单位）及特邀专家等。根据</w:t>
      </w:r>
      <w:r>
        <w:rPr>
          <w:rFonts w:hint="eastAsia" w:ascii="Times New Roman" w:hAnsi="Times New Roman" w:cs="Times New Roman"/>
          <w:sz w:val="24"/>
          <w:lang w:eastAsia="zh-CN"/>
        </w:rPr>
        <w:t>中国石化销售股份有限公司湖北咸宁石油分公司嘉鱼南一加油站（东站）建设</w:t>
      </w:r>
      <w:r>
        <w:rPr>
          <w:rFonts w:hint="default" w:ascii="Times New Roman" w:hAnsi="Times New Roman" w:cs="Times New Roman"/>
          <w:sz w:val="24"/>
        </w:rPr>
        <w:t>项目竣工环境保护验收监测报告并对照《建设项目竣工环境保护验收暂行办法》，严格依照国家有关法律法规、建设项目竣工环境保护验收技术指南、本项目环境影响评价报告表和审批部门审批决定等要求对本项目进行验收，提</w:t>
      </w:r>
      <w:r>
        <w:rPr>
          <w:rFonts w:hint="default" w:ascii="Times New Roman" w:hAnsi="Times New Roman" w:cs="Times New Roman"/>
          <w:color w:val="000000"/>
          <w:sz w:val="24"/>
        </w:rPr>
        <w:t>出意见如下：</w:t>
      </w:r>
    </w:p>
    <w:p>
      <w:pPr>
        <w:pStyle w:val="26"/>
        <w:numPr>
          <w:ilvl w:val="0"/>
          <w:numId w:val="1"/>
        </w:numPr>
        <w:spacing w:beforeAutospacing="0" w:afterAutospacing="0" w:line="360" w:lineRule="auto"/>
        <w:outlineLvl w:val="0"/>
        <w:rPr>
          <w:rFonts w:hint="default" w:ascii="Times New Roman" w:hAnsi="Times New Roman" w:cs="Times New Roman"/>
          <w:b/>
          <w:color w:val="000000"/>
        </w:rPr>
      </w:pPr>
      <w:r>
        <w:rPr>
          <w:rFonts w:hint="default" w:ascii="Times New Roman" w:hAnsi="Times New Roman" w:cs="Times New Roman"/>
          <w:b/>
          <w:color w:val="000000"/>
        </w:rPr>
        <w:t>工程建设基本情况</w:t>
      </w:r>
    </w:p>
    <w:p>
      <w:pPr>
        <w:pStyle w:val="26"/>
        <w:spacing w:beforeAutospacing="0" w:afterAutospacing="0" w:line="360" w:lineRule="auto"/>
        <w:ind w:firstLine="240" w:firstLineChars="100"/>
        <w:outlineLvl w:val="0"/>
        <w:rPr>
          <w:rFonts w:hint="default" w:ascii="Times New Roman" w:hAnsi="Times New Roman" w:cs="Times New Roman"/>
          <w:color w:val="000000"/>
        </w:rPr>
      </w:pPr>
      <w:r>
        <w:rPr>
          <w:rFonts w:hint="default" w:ascii="Times New Roman" w:hAnsi="Times New Roman" w:cs="Times New Roman"/>
          <w:color w:val="000000"/>
        </w:rPr>
        <w:t>（一）建设地点、规模、主要建设内容</w:t>
      </w:r>
    </w:p>
    <w:p>
      <w:pPr>
        <w:pStyle w:val="17"/>
        <w:spacing w:line="360" w:lineRule="auto"/>
        <w:ind w:firstLine="480" w:firstLineChars="200"/>
        <w:rPr>
          <w:rFonts w:hint="default" w:ascii="Times New Roman" w:hAnsi="Times New Roman" w:cs="Times New Roman"/>
          <w:kern w:val="2"/>
          <w:szCs w:val="24"/>
          <w:shd w:val="clear" w:color="auto" w:fill="FFFFFF"/>
        </w:rPr>
      </w:pPr>
      <w:r>
        <w:rPr>
          <w:rFonts w:hint="eastAsia" w:ascii="Times New Roman" w:hAnsi="Times New Roman" w:cs="Times New Roman"/>
          <w:sz w:val="24"/>
          <w:lang w:eastAsia="zh-CN"/>
        </w:rPr>
        <w:t>中国石化销售股份有限公司湖北咸宁石油分公司嘉鱼南一加油站（东站）</w:t>
      </w:r>
      <w:r>
        <w:rPr>
          <w:rFonts w:hint="default" w:ascii="Times New Roman" w:hAnsi="Times New Roman" w:cs="Times New Roman"/>
          <w:kern w:val="2"/>
          <w:szCs w:val="24"/>
          <w:shd w:val="clear" w:color="auto" w:fill="FFFFFF"/>
        </w:rPr>
        <w:t>位于</w:t>
      </w:r>
      <w:r>
        <w:rPr>
          <w:rFonts w:hint="default" w:ascii="Times New Roman" w:hAnsi="Times New Roman" w:cs="Times New Roman"/>
          <w:color w:val="auto"/>
          <w:sz w:val="24"/>
        </w:rPr>
        <w:t>咸宁市嘉鱼县官桥镇观音寺村，</w:t>
      </w:r>
      <w:r>
        <w:rPr>
          <w:rFonts w:hint="default" w:ascii="Times New Roman" w:hAnsi="Times New Roman" w:cs="Times New Roman"/>
          <w:snapToGrid w:val="0"/>
          <w:color w:val="auto"/>
          <w:kern w:val="0"/>
          <w:sz w:val="24"/>
        </w:rPr>
        <w:t>武深高速（嘉鱼至通城段）嘉鱼南停车区</w:t>
      </w:r>
      <w:r>
        <w:rPr>
          <w:rFonts w:hint="default" w:ascii="Times New Roman" w:hAnsi="Times New Roman" w:cs="Times New Roman"/>
          <w:snapToGrid w:val="0"/>
          <w:color w:val="auto"/>
          <w:kern w:val="0"/>
          <w:sz w:val="24"/>
          <w:lang w:eastAsia="zh-CN"/>
        </w:rPr>
        <w:t>南区</w:t>
      </w:r>
      <w:r>
        <w:rPr>
          <w:rFonts w:hint="default" w:ascii="Times New Roman" w:hAnsi="Times New Roman" w:cs="Times New Roman"/>
          <w:snapToGrid w:val="0"/>
          <w:color w:val="auto"/>
          <w:kern w:val="0"/>
          <w:sz w:val="24"/>
        </w:rPr>
        <w:t>内</w:t>
      </w:r>
      <w:r>
        <w:rPr>
          <w:rFonts w:hint="default" w:ascii="Times New Roman" w:hAnsi="Times New Roman" w:cs="Times New Roman"/>
          <w:kern w:val="2"/>
          <w:szCs w:val="24"/>
          <w:shd w:val="clear" w:color="auto" w:fill="FFFFFF"/>
        </w:rPr>
        <w:t>。项目总投资</w:t>
      </w:r>
      <w:r>
        <w:rPr>
          <w:rFonts w:hint="eastAsia" w:ascii="Times New Roman" w:hAnsi="Times New Roman" w:cs="Times New Roman"/>
          <w:kern w:val="2"/>
          <w:szCs w:val="24"/>
          <w:shd w:val="clear" w:color="auto" w:fill="FFFFFF"/>
          <w:lang w:val="en-US" w:eastAsia="zh-CN"/>
        </w:rPr>
        <w:t>410</w:t>
      </w:r>
      <w:r>
        <w:rPr>
          <w:rFonts w:hint="default" w:ascii="Times New Roman" w:hAnsi="Times New Roman" w:cs="Times New Roman"/>
          <w:kern w:val="2"/>
          <w:szCs w:val="24"/>
          <w:shd w:val="clear" w:color="auto" w:fill="FFFFFF"/>
        </w:rPr>
        <w:t>万元，</w:t>
      </w:r>
      <w:r>
        <w:rPr>
          <w:rFonts w:hint="eastAsia" w:ascii="Times New Roman" w:hAnsi="Times New Roman" w:cs="Times New Roman"/>
          <w:kern w:val="2"/>
          <w:szCs w:val="24"/>
          <w:shd w:val="clear" w:color="auto" w:fill="FFFFFF"/>
          <w:lang w:eastAsia="zh-CN"/>
        </w:rPr>
        <w:t>嘉鱼南一加油站（东站）</w:t>
      </w:r>
      <w:r>
        <w:rPr>
          <w:rFonts w:hint="default" w:ascii="Times New Roman" w:hAnsi="Times New Roman" w:cs="Times New Roman"/>
          <w:kern w:val="2"/>
          <w:szCs w:val="24"/>
          <w:shd w:val="clear" w:color="auto" w:fill="FFFFFF"/>
          <w:lang w:eastAsia="zh-CN"/>
        </w:rPr>
        <w:t>建</w:t>
      </w:r>
      <w:r>
        <w:rPr>
          <w:rFonts w:hint="eastAsia" w:ascii="Times New Roman" w:hAnsi="Times New Roman" w:cs="Times New Roman"/>
          <w:kern w:val="2"/>
          <w:szCs w:val="24"/>
          <w:shd w:val="clear" w:color="auto" w:fill="FFFFFF"/>
          <w:lang w:eastAsia="zh-CN"/>
        </w:rPr>
        <w:t>设</w:t>
      </w:r>
      <w:r>
        <w:rPr>
          <w:rFonts w:hint="default" w:ascii="Times New Roman" w:hAnsi="Times New Roman" w:cs="Times New Roman"/>
          <w:kern w:val="2"/>
          <w:szCs w:val="24"/>
          <w:shd w:val="clear" w:color="auto" w:fill="FFFFFF"/>
          <w:lang w:eastAsia="zh-CN"/>
        </w:rPr>
        <w:t>项目</w:t>
      </w:r>
      <w:r>
        <w:rPr>
          <w:rFonts w:hint="eastAsia" w:ascii="Times New Roman" w:hAnsi="Times New Roman" w:cs="Times New Roman"/>
          <w:color w:val="auto"/>
          <w:sz w:val="24"/>
          <w:szCs w:val="24"/>
          <w:lang w:eastAsia="zh-CN"/>
        </w:rPr>
        <w:t>年销售</w:t>
      </w:r>
      <w:r>
        <w:rPr>
          <w:rFonts w:hint="default" w:ascii="Times New Roman" w:hAnsi="Times New Roman" w:cs="Times New Roman"/>
          <w:color w:val="auto"/>
          <w:sz w:val="24"/>
          <w:szCs w:val="24"/>
          <w:lang w:val="en-US" w:eastAsia="zh-CN"/>
        </w:rPr>
        <w:t>汽油</w:t>
      </w:r>
      <w:r>
        <w:rPr>
          <w:rFonts w:hint="default" w:ascii="Times New Roman" w:hAnsi="Times New Roman" w:cs="Times New Roman"/>
          <w:color w:val="auto"/>
          <w:sz w:val="24"/>
          <w:szCs w:val="24"/>
          <w:highlight w:val="none"/>
          <w:lang w:val="en-US" w:eastAsia="zh-CN"/>
        </w:rPr>
        <w:t>1000t/a</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柴油</w:t>
      </w:r>
      <w:r>
        <w:rPr>
          <w:rFonts w:hint="default" w:ascii="Times New Roman" w:hAnsi="Times New Roman" w:cs="Times New Roman"/>
          <w:color w:val="auto"/>
          <w:sz w:val="24"/>
          <w:szCs w:val="24"/>
          <w:highlight w:val="none"/>
          <w:lang w:val="en-US" w:eastAsia="zh-CN"/>
        </w:rPr>
        <w:t>1500t/a</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lang w:eastAsia="zh-CN"/>
        </w:rPr>
        <w:t>车用尿素</w:t>
      </w:r>
      <w:r>
        <w:rPr>
          <w:rFonts w:hint="default" w:ascii="Times New Roman" w:hAnsi="Times New Roman" w:cs="Times New Roman"/>
          <w:color w:val="auto"/>
          <w:sz w:val="24"/>
          <w:szCs w:val="24"/>
          <w:lang w:val="en-US" w:eastAsia="zh-CN"/>
        </w:rPr>
        <w:t>10t/a</w:t>
      </w:r>
      <w:r>
        <w:rPr>
          <w:rFonts w:hint="default" w:ascii="Times New Roman" w:hAnsi="Times New Roman" w:cs="Times New Roman"/>
          <w:kern w:val="2"/>
          <w:szCs w:val="24"/>
          <w:shd w:val="clear" w:color="auto" w:fill="FFFFFF"/>
        </w:rPr>
        <w:t>，建设内容主要</w:t>
      </w:r>
      <w:r>
        <w:rPr>
          <w:rFonts w:hint="default" w:ascii="Times New Roman" w:hAnsi="Times New Roman" w:cs="Times New Roman"/>
          <w:color w:val="auto"/>
          <w:sz w:val="24"/>
          <w:szCs w:val="24"/>
          <w:lang w:val="en-US" w:eastAsia="zh-CN"/>
        </w:rPr>
        <w:t>包括站房</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框架结构，1栋2F，建筑面积为356m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vertAlign w:val="baseline"/>
          <w:lang w:val="en-US" w:eastAsia="zh-CN"/>
        </w:rPr>
        <w:t>，内置有便利店、办公室、休息室、卫浴间、卫生间，小食堂等</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、储罐区（占地面积为195.86m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，内含3个30m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的双层汽油罐，1个50m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双层柴油储罐，罐区设置防渗系统，并密封埋地）、加油机罩棚（轻钢网结构，建筑面积为310.24m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kern w:val="0"/>
          <w:sz w:val="24"/>
          <w:szCs w:val="24"/>
          <w:lang w:bidi="ar"/>
        </w:rPr>
        <w:t>设有4座标准哑铃型加油岛，2台双枪单油品加油机和2台四枪双油品加油机</w:t>
      </w:r>
      <w:r>
        <w:rPr>
          <w:rFonts w:hint="default" w:ascii="Times New Roman" w:hAnsi="Times New Roman" w:cs="Times New Roman"/>
          <w:color w:val="auto"/>
          <w:kern w:val="0"/>
          <w:sz w:val="24"/>
          <w:szCs w:val="24"/>
          <w:lang w:eastAsia="zh-CN" w:bidi="ar"/>
        </w:rPr>
        <w:t>，</w:t>
      </w:r>
      <w:r>
        <w:rPr>
          <w:rFonts w:hint="default" w:ascii="Times New Roman" w:hAnsi="Times New Roman" w:cs="Times New Roman"/>
          <w:color w:val="auto"/>
          <w:kern w:val="0"/>
          <w:sz w:val="24"/>
          <w:szCs w:val="24"/>
          <w:lang w:val="en-US" w:eastAsia="zh-CN" w:bidi="ar"/>
        </w:rPr>
        <w:t>1个</w:t>
      </w:r>
      <w:r>
        <w:rPr>
          <w:rFonts w:hint="default" w:ascii="Times New Roman" w:hAnsi="Times New Roman" w:cs="Times New Roman"/>
          <w:color w:val="auto"/>
          <w:kern w:val="0"/>
          <w:sz w:val="24"/>
          <w:szCs w:val="24"/>
          <w:lang w:bidi="ar"/>
        </w:rPr>
        <w:t>尿素加注机</w:t>
      </w:r>
      <w:r>
        <w:rPr>
          <w:rFonts w:hint="default" w:ascii="Times New Roman" w:hAnsi="Times New Roman" w:cs="Times New Roman"/>
          <w:color w:val="auto"/>
          <w:sz w:val="24"/>
          <w:szCs w:val="24"/>
          <w:lang w:val="en-US" w:eastAsia="zh-CN"/>
        </w:rPr>
        <w:t>）及配套环保设施等。</w:t>
      </w:r>
    </w:p>
    <w:p>
      <w:pPr>
        <w:spacing w:line="500" w:lineRule="exact"/>
        <w:ind w:firstLine="240" w:firstLineChars="100"/>
        <w:rPr>
          <w:rFonts w:hint="default" w:ascii="Times New Roman" w:hAnsi="Times New Roman" w:cs="Times New Roman"/>
          <w:color w:val="000000"/>
          <w:sz w:val="24"/>
        </w:rPr>
      </w:pPr>
      <w:r>
        <w:rPr>
          <w:rFonts w:hint="default" w:ascii="Times New Roman" w:hAnsi="Times New Roman" w:cs="Times New Roman"/>
          <w:color w:val="000000"/>
          <w:sz w:val="24"/>
        </w:rPr>
        <w:t>（二）建设过程及环保审批情况</w:t>
      </w:r>
    </w:p>
    <w:p>
      <w:pPr>
        <w:spacing w:line="360" w:lineRule="auto"/>
        <w:ind w:firstLine="480" w:firstLineChars="200"/>
        <w:rPr>
          <w:rFonts w:hint="default" w:ascii="Times New Roman" w:hAnsi="Times New Roman" w:cs="Times New Roman"/>
          <w:color w:val="000000"/>
          <w:sz w:val="24"/>
          <w:shd w:val="clear" w:color="auto" w:fill="FFFFFF"/>
        </w:rPr>
      </w:pPr>
      <w:r>
        <w:rPr>
          <w:rFonts w:hint="default" w:ascii="Times New Roman" w:hAnsi="Times New Roman" w:cs="Times New Roman"/>
          <w:color w:val="000000"/>
          <w:sz w:val="24"/>
          <w:shd w:val="clear" w:color="auto" w:fill="FFFFFF"/>
        </w:rPr>
        <w:t>本项目于</w:t>
      </w:r>
      <w:r>
        <w:rPr>
          <w:rFonts w:hint="default" w:ascii="Times New Roman" w:hAnsi="Times New Roman" w:cs="Times New Roman"/>
          <w:color w:val="000000"/>
          <w:sz w:val="24"/>
          <w:shd w:val="clear" w:color="auto" w:fill="FFFFFF"/>
          <w:lang w:val="en-US" w:eastAsia="zh-CN"/>
        </w:rPr>
        <w:t>2020</w:t>
      </w:r>
      <w:r>
        <w:rPr>
          <w:rFonts w:hint="default" w:ascii="Times New Roman" w:hAnsi="Times New Roman" w:cs="Times New Roman"/>
          <w:color w:val="000000"/>
          <w:sz w:val="24"/>
          <w:shd w:val="clear" w:color="auto" w:fill="FFFFFF"/>
        </w:rPr>
        <w:t>年</w:t>
      </w:r>
      <w:r>
        <w:rPr>
          <w:rFonts w:hint="default" w:ascii="Times New Roman" w:hAnsi="Times New Roman" w:cs="Times New Roman"/>
          <w:color w:val="000000"/>
          <w:sz w:val="24"/>
          <w:shd w:val="clear" w:color="auto" w:fill="FFFFFF"/>
          <w:lang w:val="en-US" w:eastAsia="zh-CN"/>
        </w:rPr>
        <w:t>1</w:t>
      </w:r>
      <w:r>
        <w:rPr>
          <w:rFonts w:hint="default" w:ascii="Times New Roman" w:hAnsi="Times New Roman" w:cs="Times New Roman"/>
          <w:color w:val="000000"/>
          <w:sz w:val="24"/>
          <w:shd w:val="clear" w:color="auto" w:fill="FFFFFF"/>
        </w:rPr>
        <w:t>月正式投入运行。</w:t>
      </w:r>
      <w:r>
        <w:rPr>
          <w:rFonts w:hint="default" w:ascii="Times New Roman" w:hAnsi="Times New Roman" w:cs="Times New Roman"/>
          <w:color w:val="000000"/>
          <w:sz w:val="24"/>
          <w:shd w:val="clear" w:color="auto" w:fill="FFFFFF"/>
          <w:lang w:val="en-US" w:eastAsia="zh-CN"/>
        </w:rPr>
        <w:t>2019</w:t>
      </w:r>
      <w:r>
        <w:rPr>
          <w:rFonts w:hint="default" w:ascii="Times New Roman" w:hAnsi="Times New Roman" w:cs="Times New Roman"/>
          <w:color w:val="000000"/>
          <w:sz w:val="24"/>
          <w:shd w:val="clear" w:color="auto" w:fill="FFFFFF"/>
        </w:rPr>
        <w:t>年</w:t>
      </w:r>
      <w:r>
        <w:rPr>
          <w:rFonts w:hint="eastAsia" w:ascii="Times New Roman" w:hAnsi="Times New Roman" w:cs="Times New Roman"/>
          <w:color w:val="000000"/>
          <w:sz w:val="24"/>
          <w:shd w:val="clear" w:color="auto" w:fill="FFFFFF"/>
          <w:lang w:val="en-US" w:eastAsia="zh-CN"/>
        </w:rPr>
        <w:t>10</w:t>
      </w:r>
      <w:r>
        <w:rPr>
          <w:rFonts w:hint="default" w:ascii="Times New Roman" w:hAnsi="Times New Roman" w:cs="Times New Roman"/>
          <w:color w:val="000000"/>
          <w:sz w:val="24"/>
          <w:shd w:val="clear" w:color="auto" w:fill="FFFFFF"/>
        </w:rPr>
        <w:t>月，由</w:t>
      </w:r>
      <w:r>
        <w:rPr>
          <w:rFonts w:hint="eastAsia" w:ascii="Times New Roman" w:hAnsi="Times New Roman" w:cs="Times New Roman"/>
          <w:color w:val="000000"/>
          <w:sz w:val="24"/>
          <w:shd w:val="clear" w:color="auto" w:fill="FFFFFF"/>
          <w:lang w:eastAsia="zh-CN"/>
        </w:rPr>
        <w:t>湖北省公信检测服务有限公司</w:t>
      </w:r>
      <w:r>
        <w:rPr>
          <w:rFonts w:hint="default" w:ascii="Times New Roman" w:hAnsi="Times New Roman" w:cs="Times New Roman"/>
          <w:color w:val="000000"/>
          <w:sz w:val="24"/>
          <w:shd w:val="clear" w:color="auto" w:fill="FFFFFF"/>
        </w:rPr>
        <w:t>编制的《</w:t>
      </w:r>
      <w:r>
        <w:rPr>
          <w:rFonts w:hint="default" w:ascii="Times New Roman" w:hAnsi="Times New Roman" w:cs="Times New Roman"/>
          <w:color w:val="auto"/>
          <w:kern w:val="2"/>
          <w:sz w:val="24"/>
          <w:szCs w:val="24"/>
        </w:rPr>
        <w:t>中国石化销售股份有限公司湖北咸宁石油分公司嘉鱼南一加油站</w:t>
      </w:r>
      <w:r>
        <w:rPr>
          <w:rFonts w:hint="eastAsia" w:ascii="Times New Roman" w:hAnsi="Times New Roman" w:cs="Times New Roman"/>
          <w:color w:val="auto"/>
          <w:kern w:val="2"/>
          <w:sz w:val="24"/>
          <w:szCs w:val="24"/>
          <w:lang w:eastAsia="zh-CN"/>
        </w:rPr>
        <w:t>建设</w:t>
      </w:r>
      <w:r>
        <w:rPr>
          <w:rFonts w:hint="default" w:ascii="Times New Roman" w:hAnsi="Times New Roman" w:cs="Times New Roman"/>
          <w:color w:val="000000"/>
          <w:sz w:val="24"/>
          <w:shd w:val="clear" w:color="auto" w:fill="FFFFFF"/>
        </w:rPr>
        <w:t>项目环境影响报告表》已于20</w:t>
      </w:r>
      <w:r>
        <w:rPr>
          <w:rFonts w:hint="default" w:ascii="Times New Roman" w:hAnsi="Times New Roman" w:cs="Times New Roman"/>
          <w:color w:val="000000"/>
          <w:sz w:val="24"/>
          <w:shd w:val="clear" w:color="auto" w:fill="FFFFFF"/>
          <w:lang w:val="en-US" w:eastAsia="zh-CN"/>
        </w:rPr>
        <w:t>20</w:t>
      </w:r>
      <w:r>
        <w:rPr>
          <w:rFonts w:hint="default" w:ascii="Times New Roman" w:hAnsi="Times New Roman" w:cs="Times New Roman"/>
          <w:color w:val="000000"/>
          <w:sz w:val="24"/>
          <w:shd w:val="clear" w:color="auto" w:fill="FFFFFF"/>
        </w:rPr>
        <w:t>年</w:t>
      </w:r>
      <w:r>
        <w:rPr>
          <w:rFonts w:hint="eastAsia" w:ascii="Times New Roman" w:hAnsi="Times New Roman" w:cs="Times New Roman"/>
          <w:color w:val="000000"/>
          <w:sz w:val="24"/>
          <w:shd w:val="clear" w:color="auto" w:fill="FFFFFF"/>
          <w:lang w:val="en-US" w:eastAsia="zh-CN"/>
        </w:rPr>
        <w:t>3</w:t>
      </w:r>
      <w:r>
        <w:rPr>
          <w:rFonts w:hint="default" w:ascii="Times New Roman" w:hAnsi="Times New Roman" w:cs="Times New Roman"/>
          <w:color w:val="000000"/>
          <w:sz w:val="24"/>
          <w:shd w:val="clear" w:color="auto" w:fill="FFFFFF"/>
        </w:rPr>
        <w:t>月</w:t>
      </w:r>
      <w:r>
        <w:rPr>
          <w:rFonts w:hint="eastAsia" w:ascii="Times New Roman" w:hAnsi="Times New Roman" w:cs="Times New Roman"/>
          <w:color w:val="000000"/>
          <w:sz w:val="24"/>
          <w:shd w:val="clear" w:color="auto" w:fill="FFFFFF"/>
          <w:lang w:val="en-US" w:eastAsia="zh-CN"/>
        </w:rPr>
        <w:t>31</w:t>
      </w:r>
      <w:r>
        <w:rPr>
          <w:rFonts w:hint="default" w:ascii="Times New Roman" w:hAnsi="Times New Roman" w:cs="Times New Roman"/>
          <w:color w:val="000000"/>
          <w:sz w:val="24"/>
          <w:shd w:val="clear" w:color="auto" w:fill="FFFFFF"/>
        </w:rPr>
        <w:t>日取得</w:t>
      </w:r>
      <w:r>
        <w:rPr>
          <w:rFonts w:hint="default" w:ascii="Times New Roman" w:hAnsi="Times New Roman" w:cs="Times New Roman"/>
          <w:color w:val="000000"/>
          <w:sz w:val="24"/>
          <w:shd w:val="clear" w:color="auto" w:fill="FFFFFF"/>
          <w:lang w:eastAsia="zh-CN"/>
        </w:rPr>
        <w:t>咸宁市生态环境局</w:t>
      </w:r>
      <w:r>
        <w:rPr>
          <w:rFonts w:hint="eastAsia" w:ascii="Times New Roman" w:hAnsi="Times New Roman" w:cs="Times New Roman"/>
          <w:color w:val="000000"/>
          <w:sz w:val="24"/>
          <w:shd w:val="clear" w:color="auto" w:fill="FFFFFF"/>
          <w:lang w:eastAsia="zh-CN"/>
        </w:rPr>
        <w:t>嘉鱼县</w:t>
      </w:r>
      <w:r>
        <w:rPr>
          <w:rFonts w:hint="default" w:ascii="Times New Roman" w:hAnsi="Times New Roman" w:cs="Times New Roman"/>
          <w:color w:val="000000"/>
          <w:sz w:val="24"/>
          <w:shd w:val="clear" w:color="auto" w:fill="FFFFFF"/>
          <w:lang w:eastAsia="zh-CN"/>
        </w:rPr>
        <w:t>分局</w:t>
      </w:r>
      <w:r>
        <w:rPr>
          <w:rFonts w:hint="default" w:ascii="Times New Roman" w:hAnsi="Times New Roman" w:cs="Times New Roman"/>
          <w:color w:val="000000"/>
          <w:sz w:val="24"/>
          <w:shd w:val="clear" w:color="auto" w:fill="FFFFFF"/>
        </w:rPr>
        <w:t>“</w:t>
      </w:r>
      <w:r>
        <w:rPr>
          <w:rFonts w:hint="default" w:ascii="Times New Roman" w:hAnsi="Times New Roman" w:eastAsia="宋体" w:cs="Times New Roman"/>
          <w:color w:val="auto"/>
          <w:sz w:val="24"/>
        </w:rPr>
        <w:t>关于</w:t>
      </w:r>
      <w:r>
        <w:rPr>
          <w:rFonts w:hint="default" w:ascii="Times New Roman" w:hAnsi="Times New Roman" w:cs="Times New Roman"/>
          <w:color w:val="auto"/>
          <w:kern w:val="2"/>
          <w:sz w:val="24"/>
          <w:szCs w:val="24"/>
        </w:rPr>
        <w:t>中国石化销售股份有限公司湖北咸宁石油分公司嘉鱼南一加油站</w:t>
      </w:r>
      <w:r>
        <w:rPr>
          <w:rFonts w:hint="default" w:ascii="Times New Roman" w:hAnsi="Times New Roman" w:cs="Times New Roman"/>
          <w:color w:val="auto"/>
          <w:sz w:val="24"/>
          <w:lang w:val="en-US" w:eastAsia="zh-CN"/>
        </w:rPr>
        <w:t>建设项目环境影响报告表</w:t>
      </w:r>
      <w:r>
        <w:rPr>
          <w:rFonts w:hint="default" w:ascii="Times New Roman" w:hAnsi="Times New Roman" w:cs="Times New Roman"/>
          <w:color w:val="000000"/>
          <w:sz w:val="24"/>
          <w:shd w:val="clear" w:color="auto" w:fill="FFFFFF"/>
        </w:rPr>
        <w:t>的批复”，批文号为：</w:t>
      </w:r>
      <w:r>
        <w:rPr>
          <w:rFonts w:hint="eastAsia" w:ascii="Times New Roman" w:hAnsi="Times New Roman" w:cs="Times New Roman"/>
          <w:color w:val="000000"/>
          <w:sz w:val="24"/>
          <w:shd w:val="clear" w:color="auto" w:fill="FFFFFF"/>
          <w:lang w:eastAsia="zh-CN"/>
        </w:rPr>
        <w:t>嘉环建</w:t>
      </w:r>
      <w:r>
        <w:rPr>
          <w:rFonts w:hint="default" w:ascii="Times New Roman" w:hAnsi="Times New Roman" w:cs="Times New Roman"/>
          <w:color w:val="000000"/>
          <w:sz w:val="24"/>
          <w:shd w:val="clear" w:color="auto" w:fill="FFFFFF"/>
        </w:rPr>
        <w:t>[20</w:t>
      </w:r>
      <w:r>
        <w:rPr>
          <w:rFonts w:hint="default" w:ascii="Times New Roman" w:hAnsi="Times New Roman" w:cs="Times New Roman"/>
          <w:color w:val="000000"/>
          <w:sz w:val="24"/>
          <w:shd w:val="clear" w:color="auto" w:fill="FFFFFF"/>
          <w:lang w:val="en-US" w:eastAsia="zh-CN"/>
        </w:rPr>
        <w:t>20</w:t>
      </w:r>
      <w:r>
        <w:rPr>
          <w:rFonts w:hint="default" w:ascii="Times New Roman" w:hAnsi="Times New Roman" w:cs="Times New Roman"/>
          <w:color w:val="000000"/>
          <w:sz w:val="24"/>
          <w:shd w:val="clear" w:color="auto" w:fill="FFFFFF"/>
        </w:rPr>
        <w:t>]</w:t>
      </w:r>
      <w:r>
        <w:rPr>
          <w:rFonts w:hint="eastAsia" w:ascii="Times New Roman" w:hAnsi="Times New Roman" w:cs="Times New Roman"/>
          <w:color w:val="000000"/>
          <w:sz w:val="24"/>
          <w:shd w:val="clear" w:color="auto" w:fill="FFFFFF"/>
          <w:lang w:val="en-US" w:eastAsia="zh-CN"/>
        </w:rPr>
        <w:t>06</w:t>
      </w:r>
      <w:r>
        <w:rPr>
          <w:rFonts w:hint="default" w:ascii="Times New Roman" w:hAnsi="Times New Roman" w:cs="Times New Roman"/>
          <w:color w:val="000000"/>
          <w:sz w:val="24"/>
          <w:shd w:val="clear" w:color="auto" w:fill="FFFFFF"/>
        </w:rPr>
        <w:t>号。</w:t>
      </w:r>
    </w:p>
    <w:p>
      <w:pPr>
        <w:spacing w:line="360" w:lineRule="auto"/>
        <w:ind w:firstLine="480" w:firstLineChars="200"/>
        <w:rPr>
          <w:rFonts w:hint="default" w:ascii="Times New Roman" w:hAnsi="Times New Roman" w:cs="Times New Roman"/>
          <w:color w:val="000000"/>
          <w:sz w:val="24"/>
          <w:shd w:val="clear" w:color="auto" w:fill="FFFFFF"/>
        </w:rPr>
      </w:pPr>
      <w:r>
        <w:rPr>
          <w:rFonts w:hint="default" w:ascii="Times New Roman" w:hAnsi="Times New Roman" w:cs="Times New Roman" w:eastAsiaTheme="minorEastAsia"/>
          <w:sz w:val="24"/>
        </w:rPr>
        <w:t>20</w:t>
      </w:r>
      <w:r>
        <w:rPr>
          <w:rFonts w:hint="default" w:ascii="Times New Roman" w:hAnsi="Times New Roman" w:cs="Times New Roman" w:eastAsiaTheme="minorEastAsia"/>
          <w:sz w:val="24"/>
          <w:lang w:val="en-US" w:eastAsia="zh-CN"/>
        </w:rPr>
        <w:t>20</w:t>
      </w:r>
      <w:r>
        <w:rPr>
          <w:rFonts w:hint="default" w:ascii="Times New Roman" w:hAnsi="Times New Roman" w:cs="Times New Roman" w:eastAsiaTheme="minorEastAsia"/>
          <w:sz w:val="24"/>
        </w:rPr>
        <w:t>年</w:t>
      </w: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月</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eastAsiaTheme="minorEastAsia"/>
          <w:sz w:val="24"/>
        </w:rPr>
        <w:t>委托湖北省公信检测服务有限公司对该项目进行了竣工环境保护验收监测工作</w:t>
      </w:r>
      <w:r>
        <w:rPr>
          <w:rFonts w:hint="default" w:ascii="Times New Roman" w:hAnsi="Times New Roman" w:cs="Times New Roman"/>
          <w:color w:val="000000"/>
          <w:sz w:val="24"/>
          <w:shd w:val="clear" w:color="auto" w:fill="FFFFFF"/>
        </w:rPr>
        <w:t>。</w:t>
      </w:r>
    </w:p>
    <w:p>
      <w:pPr>
        <w:tabs>
          <w:tab w:val="left" w:pos="4305"/>
        </w:tabs>
        <w:spacing w:line="360" w:lineRule="auto"/>
        <w:ind w:firstLine="240" w:firstLineChars="100"/>
        <w:rPr>
          <w:rFonts w:hint="default" w:ascii="Times New Roman" w:hAnsi="Times New Roman" w:cs="Times New Roman"/>
          <w:color w:val="000000"/>
          <w:sz w:val="24"/>
        </w:rPr>
      </w:pPr>
      <w:r>
        <w:rPr>
          <w:rFonts w:hint="default" w:ascii="Times New Roman" w:hAnsi="Times New Roman" w:cs="Times New Roman"/>
          <w:color w:val="000000"/>
          <w:sz w:val="24"/>
        </w:rPr>
        <w:t>（三）投资情况</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项目实际总投资</w:t>
      </w:r>
      <w:r>
        <w:rPr>
          <w:rFonts w:hint="eastAsia" w:ascii="Times New Roman" w:hAnsi="Times New Roman" w:cs="Times New Roman"/>
          <w:color w:val="000000"/>
          <w:sz w:val="24"/>
          <w:lang w:val="en-US" w:eastAsia="zh-CN"/>
        </w:rPr>
        <w:t>410</w:t>
      </w:r>
      <w:r>
        <w:rPr>
          <w:rFonts w:hint="default" w:ascii="Times New Roman" w:hAnsi="Times New Roman" w:cs="Times New Roman"/>
          <w:color w:val="000000"/>
          <w:sz w:val="24"/>
        </w:rPr>
        <w:t>万元，其中环保投资</w:t>
      </w:r>
      <w:r>
        <w:rPr>
          <w:rFonts w:hint="eastAsia" w:ascii="Times New Roman" w:hAnsi="Times New Roman" w:cs="Times New Roman"/>
          <w:color w:val="000000"/>
          <w:sz w:val="24"/>
          <w:lang w:val="en-US" w:eastAsia="zh-CN"/>
        </w:rPr>
        <w:t>69</w:t>
      </w:r>
      <w:r>
        <w:rPr>
          <w:rFonts w:hint="default" w:ascii="Times New Roman" w:hAnsi="Times New Roman" w:cs="Times New Roman"/>
          <w:color w:val="000000"/>
          <w:sz w:val="24"/>
        </w:rPr>
        <w:t>万元。</w:t>
      </w:r>
    </w:p>
    <w:p>
      <w:pPr>
        <w:pStyle w:val="26"/>
        <w:spacing w:beforeAutospacing="0" w:afterAutospacing="0" w:line="360" w:lineRule="auto"/>
        <w:ind w:firstLine="240" w:firstLineChars="100"/>
        <w:outlineLvl w:val="0"/>
        <w:rPr>
          <w:rFonts w:hint="default" w:ascii="Times New Roman" w:hAnsi="Times New Roman" w:cs="Times New Roman"/>
          <w:color w:val="000000"/>
        </w:rPr>
      </w:pPr>
      <w:r>
        <w:rPr>
          <w:rFonts w:hint="default" w:ascii="Times New Roman" w:hAnsi="Times New Roman" w:cs="Times New Roman"/>
          <w:color w:val="000000"/>
        </w:rPr>
        <w:t>（四）验收范围</w:t>
      </w:r>
    </w:p>
    <w:p>
      <w:pPr>
        <w:pStyle w:val="17"/>
        <w:spacing w:line="360" w:lineRule="auto"/>
        <w:ind w:firstLine="480" w:firstLineChars="200"/>
        <w:rPr>
          <w:rFonts w:hint="default" w:ascii="Times New Roman" w:hAnsi="Times New Roman" w:cs="Times New Roman"/>
          <w:szCs w:val="24"/>
        </w:rPr>
      </w:pPr>
      <w:r>
        <w:rPr>
          <w:rFonts w:hint="default" w:ascii="Times New Roman" w:hAnsi="Times New Roman" w:cs="Times New Roman"/>
        </w:rPr>
        <w:t>本次验收范围为</w:t>
      </w:r>
      <w:r>
        <w:rPr>
          <w:rFonts w:hint="default" w:ascii="Times New Roman" w:hAnsi="Times New Roman" w:cs="Times New Roman"/>
          <w:color w:val="auto"/>
        </w:rPr>
        <w:t>：</w:t>
      </w:r>
      <w:r>
        <w:rPr>
          <w:rFonts w:hint="default" w:ascii="Times New Roman" w:hAnsi="Times New Roman" w:cs="Times New Roman"/>
          <w:color w:val="auto"/>
          <w:sz w:val="24"/>
          <w:szCs w:val="24"/>
          <w:lang w:val="en-US" w:eastAsia="zh-CN"/>
        </w:rPr>
        <w:t>站房</w:t>
      </w:r>
      <w:r>
        <w:rPr>
          <w:rFonts w:hint="eastAsia" w:asciiTheme="minorEastAsia" w:hAnsiTheme="minorEastAsia" w:eastAsiaTheme="minorEastAsia" w:cstheme="minorEastAsia"/>
          <w:color w:val="auto"/>
          <w:sz w:val="24"/>
          <w:szCs w:val="24"/>
          <w:lang w:val="en-US" w:eastAsia="zh-CN"/>
        </w:rPr>
        <w:t>(</w:t>
      </w:r>
      <w:r>
        <w:rPr>
          <w:rFonts w:hint="default" w:ascii="Times New Roman" w:hAnsi="Times New Roman" w:cs="Times New Roman"/>
          <w:color w:val="auto"/>
          <w:sz w:val="24"/>
          <w:szCs w:val="24"/>
          <w:lang w:val="en-US" w:eastAsia="zh-CN"/>
        </w:rPr>
        <w:t>框架结构，1栋2F，建筑面积为356m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vertAlign w:val="baseline"/>
          <w:lang w:val="en-US" w:eastAsia="zh-CN"/>
        </w:rPr>
        <w:t>，内置有便利店、办公室、休息室、卫浴间、卫生间，小食堂等</w:t>
      </w:r>
      <w:r>
        <w:rPr>
          <w:rFonts w:hint="eastAsia" w:asciiTheme="minorEastAsia" w:hAnsiTheme="minorEastAsia" w:eastAsiaTheme="minorEastAsia" w:cstheme="minorEastAsia"/>
          <w:color w:val="auto"/>
          <w:sz w:val="24"/>
          <w:szCs w:val="24"/>
          <w:lang w:val="en-US" w:eastAsia="zh-CN"/>
        </w:rPr>
        <w:t>)</w:t>
      </w:r>
      <w:r>
        <w:rPr>
          <w:rFonts w:hint="default" w:ascii="Times New Roman" w:hAnsi="Times New Roman" w:cs="Times New Roman"/>
          <w:color w:val="auto"/>
          <w:sz w:val="24"/>
          <w:szCs w:val="24"/>
          <w:lang w:val="en-US" w:eastAsia="zh-CN"/>
        </w:rPr>
        <w:t>、储罐区（占地面积为195.86m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，内含3个30m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的双层汽油罐，1个50m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双层柴油储罐，罐区设置防渗系统，并密封埋地）、加油机罩棚（轻钢网结构，建筑面积为310.24m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kern w:val="0"/>
          <w:sz w:val="24"/>
          <w:szCs w:val="24"/>
          <w:lang w:bidi="ar"/>
        </w:rPr>
        <w:t>设有4座标准哑铃型加油岛，2台双枪单油品加油机和2台四枪双油品加油机</w:t>
      </w:r>
      <w:r>
        <w:rPr>
          <w:rFonts w:hint="default" w:ascii="Times New Roman" w:hAnsi="Times New Roman" w:cs="Times New Roman"/>
          <w:color w:val="auto"/>
          <w:kern w:val="0"/>
          <w:sz w:val="24"/>
          <w:szCs w:val="24"/>
          <w:lang w:eastAsia="zh-CN" w:bidi="ar"/>
        </w:rPr>
        <w:t>，</w:t>
      </w:r>
      <w:r>
        <w:rPr>
          <w:rFonts w:hint="default" w:ascii="Times New Roman" w:hAnsi="Times New Roman" w:cs="Times New Roman"/>
          <w:color w:val="auto"/>
          <w:kern w:val="0"/>
          <w:sz w:val="24"/>
          <w:szCs w:val="24"/>
          <w:lang w:val="en-US" w:eastAsia="zh-CN" w:bidi="ar"/>
        </w:rPr>
        <w:t>1个</w:t>
      </w:r>
      <w:r>
        <w:rPr>
          <w:rFonts w:hint="default" w:ascii="Times New Roman" w:hAnsi="Times New Roman" w:cs="Times New Roman"/>
          <w:color w:val="auto"/>
          <w:kern w:val="0"/>
          <w:sz w:val="24"/>
          <w:szCs w:val="24"/>
          <w:lang w:bidi="ar"/>
        </w:rPr>
        <w:t>尿素加注机</w:t>
      </w:r>
      <w:r>
        <w:rPr>
          <w:rFonts w:hint="default" w:ascii="Times New Roman" w:hAnsi="Times New Roman" w:cs="Times New Roman"/>
          <w:color w:val="auto"/>
          <w:sz w:val="24"/>
          <w:szCs w:val="24"/>
          <w:lang w:val="en-US" w:eastAsia="zh-CN"/>
        </w:rPr>
        <w:t>）及配套环保设施等</w:t>
      </w:r>
      <w:r>
        <w:rPr>
          <w:rFonts w:hint="default" w:ascii="Times New Roman" w:hAnsi="Times New Roman" w:cs="Times New Roman"/>
          <w:szCs w:val="24"/>
        </w:rPr>
        <w:t>。</w:t>
      </w:r>
    </w:p>
    <w:p>
      <w:pPr>
        <w:numPr>
          <w:ilvl w:val="0"/>
          <w:numId w:val="1"/>
        </w:numPr>
        <w:spacing w:line="360" w:lineRule="auto"/>
        <w:outlineLvl w:val="0"/>
        <w:rPr>
          <w:rFonts w:hint="default" w:ascii="Times New Roman" w:hAnsi="Times New Roman" w:cs="Times New Roman"/>
          <w:b/>
          <w:color w:val="000000"/>
          <w:sz w:val="24"/>
        </w:rPr>
      </w:pPr>
      <w:r>
        <w:rPr>
          <w:rFonts w:hint="default" w:ascii="Times New Roman" w:hAnsi="Times New Roman" w:cs="Times New Roman"/>
          <w:b/>
          <w:color w:val="000000"/>
          <w:sz w:val="24"/>
        </w:rPr>
        <w:t>工程变动情况</w:t>
      </w:r>
    </w:p>
    <w:p>
      <w:pPr>
        <w:spacing w:line="360" w:lineRule="auto"/>
        <w:ind w:firstLine="480" w:firstLineChars="200"/>
        <w:rPr>
          <w:rFonts w:hint="default" w:ascii="Times New Roman" w:hAnsi="Times New Roman" w:eastAsia="宋体" w:cs="Times New Roman"/>
          <w:lang w:eastAsia="zh-CN"/>
        </w:rPr>
      </w:pPr>
      <w:r>
        <w:rPr>
          <w:rFonts w:hint="default" w:ascii="Times New Roman" w:hAnsi="Times New Roman" w:cs="Times New Roman"/>
          <w:sz w:val="24"/>
        </w:rPr>
        <w:t>根据现场调查，</w:t>
      </w:r>
      <w:r>
        <w:rPr>
          <w:rFonts w:hint="default" w:ascii="Times New Roman" w:hAnsi="Times New Roman" w:cs="Times New Roman"/>
          <w:sz w:val="24"/>
          <w:lang w:eastAsia="zh-CN"/>
        </w:rPr>
        <w:t>本项目无变动。</w:t>
      </w:r>
    </w:p>
    <w:p>
      <w:pPr>
        <w:spacing w:line="360" w:lineRule="auto"/>
        <w:outlineLvl w:val="0"/>
        <w:rPr>
          <w:rFonts w:hint="default" w:ascii="Times New Roman" w:hAnsi="Times New Roman" w:cs="Times New Roman"/>
          <w:b/>
          <w:color w:val="000000"/>
          <w:sz w:val="24"/>
        </w:rPr>
      </w:pPr>
      <w:r>
        <w:rPr>
          <w:rFonts w:hint="default" w:ascii="Times New Roman" w:hAnsi="Times New Roman" w:cs="Times New Roman"/>
          <w:b/>
          <w:color w:val="000000"/>
          <w:sz w:val="24"/>
        </w:rPr>
        <w:t>三、环境保护设施建设情况</w:t>
      </w:r>
    </w:p>
    <w:p>
      <w:pPr>
        <w:spacing w:line="360" w:lineRule="auto"/>
        <w:ind w:firstLine="240" w:firstLineChars="100"/>
        <w:outlineLvl w:val="1"/>
        <w:rPr>
          <w:rFonts w:hint="default" w:ascii="Times New Roman" w:hAnsi="Times New Roman" w:cs="Times New Roman"/>
          <w:color w:val="000000"/>
          <w:sz w:val="24"/>
        </w:rPr>
      </w:pPr>
      <w:r>
        <w:rPr>
          <w:rFonts w:hint="default" w:ascii="Times New Roman" w:hAnsi="Times New Roman" w:cs="Times New Roman"/>
          <w:color w:val="000000"/>
          <w:sz w:val="24"/>
        </w:rPr>
        <w:t>（一）废水</w:t>
      </w:r>
    </w:p>
    <w:p>
      <w:pPr>
        <w:spacing w:line="360" w:lineRule="auto"/>
        <w:ind w:firstLine="480" w:firstLineChars="200"/>
        <w:outlineLvl w:val="1"/>
        <w:rPr>
          <w:rFonts w:hint="eastAsia"/>
          <w:snapToGrid w:val="0"/>
          <w:kern w:val="0"/>
          <w:sz w:val="24"/>
        </w:rPr>
      </w:pPr>
      <w:r>
        <w:rPr>
          <w:rFonts w:hint="eastAsia"/>
          <w:snapToGrid w:val="0"/>
          <w:kern w:val="0"/>
          <w:sz w:val="24"/>
        </w:rPr>
        <w:t>项目废水主要为油罐区和加油区初期雨水和生活污水，其中初期雨水经隔油池处理</w:t>
      </w:r>
      <w:r>
        <w:rPr>
          <w:rFonts w:hint="eastAsia"/>
          <w:snapToGrid w:val="0"/>
          <w:kern w:val="0"/>
          <w:sz w:val="24"/>
          <w:lang w:eastAsia="zh-CN"/>
        </w:rPr>
        <w:t>后，直接排放。</w:t>
      </w:r>
      <w:r>
        <w:rPr>
          <w:rFonts w:hint="eastAsia"/>
          <w:snapToGrid w:val="0"/>
          <w:kern w:val="0"/>
          <w:sz w:val="24"/>
        </w:rPr>
        <w:t>生活污水经化粪池预处理后</w:t>
      </w:r>
      <w:r>
        <w:rPr>
          <w:rFonts w:hint="eastAsia"/>
          <w:snapToGrid w:val="0"/>
          <w:kern w:val="0"/>
          <w:sz w:val="24"/>
          <w:lang w:eastAsia="zh-CN"/>
        </w:rPr>
        <w:t>，</w:t>
      </w:r>
      <w:r>
        <w:rPr>
          <w:rFonts w:hint="eastAsia"/>
          <w:snapToGrid w:val="0"/>
          <w:kern w:val="0"/>
          <w:sz w:val="24"/>
        </w:rPr>
        <w:t>依托</w:t>
      </w:r>
      <w:r>
        <w:rPr>
          <w:rFonts w:hint="eastAsia"/>
          <w:sz w:val="24"/>
        </w:rPr>
        <w:t>嘉鱼南停车区</w:t>
      </w:r>
      <w:r>
        <w:rPr>
          <w:rFonts w:hint="eastAsia"/>
          <w:sz w:val="24"/>
          <w:lang w:eastAsia="zh-CN"/>
        </w:rPr>
        <w:t>南区</w:t>
      </w:r>
      <w:r>
        <w:rPr>
          <w:rFonts w:hint="default" w:ascii="Times New Roman" w:hAnsi="Times New Roman" w:cs="Times New Roman"/>
          <w:snapToGrid w:val="0"/>
          <w:kern w:val="0"/>
          <w:sz w:val="24"/>
        </w:rPr>
        <w:t>WSZ</w:t>
      </w:r>
      <w:r>
        <w:rPr>
          <w:rFonts w:hint="eastAsia"/>
          <w:snapToGrid w:val="0"/>
          <w:kern w:val="0"/>
          <w:sz w:val="24"/>
        </w:rPr>
        <w:t>一体化地埋式污水处理设备处理达到《污水综合排放标准》（</w:t>
      </w:r>
      <w:r>
        <w:rPr>
          <w:rFonts w:hint="default" w:ascii="Times New Roman" w:hAnsi="Times New Roman" w:cs="Times New Roman"/>
          <w:snapToGrid w:val="0"/>
          <w:kern w:val="0"/>
          <w:sz w:val="24"/>
        </w:rPr>
        <w:t>GB8978-1996</w:t>
      </w:r>
      <w:r>
        <w:rPr>
          <w:rFonts w:hint="eastAsia"/>
          <w:snapToGrid w:val="0"/>
          <w:kern w:val="0"/>
          <w:sz w:val="24"/>
        </w:rPr>
        <w:t>）表</w:t>
      </w:r>
      <w:r>
        <w:rPr>
          <w:rFonts w:hint="default" w:ascii="Times New Roman" w:hAnsi="Times New Roman" w:cs="Times New Roman"/>
          <w:snapToGrid w:val="0"/>
          <w:kern w:val="0"/>
          <w:sz w:val="24"/>
        </w:rPr>
        <w:t>4</w:t>
      </w:r>
      <w:r>
        <w:rPr>
          <w:rFonts w:hint="eastAsia"/>
          <w:snapToGrid w:val="0"/>
          <w:kern w:val="0"/>
          <w:sz w:val="24"/>
        </w:rPr>
        <w:t>中一级标准</w:t>
      </w:r>
      <w:r>
        <w:rPr>
          <w:rFonts w:hint="eastAsia"/>
          <w:snapToGrid w:val="0"/>
          <w:kern w:val="0"/>
          <w:sz w:val="24"/>
          <w:lang w:eastAsia="zh-CN"/>
        </w:rPr>
        <w:t>和</w:t>
      </w:r>
      <w:r>
        <w:rPr>
          <w:rFonts w:hint="default" w:ascii="Times New Roman" w:hAnsi="Times New Roman" w:eastAsia="宋体" w:cs="Times New Roman"/>
          <w:color w:val="auto"/>
          <w:sz w:val="24"/>
        </w:rPr>
        <w:t>《</w:t>
      </w:r>
      <w:r>
        <w:rPr>
          <w:rFonts w:hint="eastAsia" w:cs="Times New Roman"/>
          <w:color w:val="auto"/>
          <w:sz w:val="24"/>
          <w:lang w:eastAsia="zh-CN"/>
        </w:rPr>
        <w:t>农田灌溉水质标准</w:t>
      </w:r>
      <w:r>
        <w:rPr>
          <w:rFonts w:hint="default" w:ascii="Times New Roman" w:hAnsi="Times New Roman" w:eastAsia="宋体" w:cs="Times New Roman"/>
          <w:color w:val="auto"/>
          <w:sz w:val="24"/>
        </w:rPr>
        <w:t>》（GB</w:t>
      </w:r>
      <w:r>
        <w:rPr>
          <w:rFonts w:hint="default" w:ascii="Times New Roman" w:hAnsi="Times New Roman" w:cs="Times New Roman"/>
          <w:color w:val="auto"/>
          <w:sz w:val="24"/>
          <w:lang w:val="en-US" w:eastAsia="zh-CN"/>
        </w:rPr>
        <w:t>5084</w:t>
      </w:r>
      <w:r>
        <w:rPr>
          <w:rFonts w:hint="default" w:ascii="Times New Roman" w:hAnsi="Times New Roman" w:eastAsia="宋体" w:cs="Times New Roman"/>
          <w:color w:val="auto"/>
          <w:sz w:val="24"/>
        </w:rPr>
        <w:t>-</w:t>
      </w:r>
      <w:r>
        <w:rPr>
          <w:rFonts w:hint="default" w:ascii="Times New Roman" w:hAnsi="Times New Roman" w:cs="Times New Roman"/>
          <w:color w:val="auto"/>
          <w:sz w:val="24"/>
          <w:lang w:val="en-US" w:eastAsia="zh-CN"/>
        </w:rPr>
        <w:t>2005</w:t>
      </w:r>
      <w:r>
        <w:rPr>
          <w:rFonts w:hint="default" w:ascii="Times New Roman" w:hAnsi="Times New Roman" w:eastAsia="宋体" w:cs="Times New Roman"/>
          <w:color w:val="auto"/>
          <w:sz w:val="24"/>
        </w:rPr>
        <w:t>）</w:t>
      </w:r>
      <w:r>
        <w:rPr>
          <w:rFonts w:hint="eastAsia" w:cs="Times New Roman"/>
          <w:color w:val="auto"/>
          <w:sz w:val="24"/>
          <w:lang w:eastAsia="zh-CN"/>
        </w:rPr>
        <w:t>表</w:t>
      </w:r>
      <w:r>
        <w:rPr>
          <w:rFonts w:hint="default" w:ascii="Times New Roman" w:hAnsi="Times New Roman" w:cs="Times New Roman"/>
          <w:color w:val="auto"/>
          <w:sz w:val="24"/>
          <w:lang w:val="en-US" w:eastAsia="zh-CN"/>
        </w:rPr>
        <w:t>1</w:t>
      </w:r>
      <w:r>
        <w:rPr>
          <w:rFonts w:hint="eastAsia" w:cs="Times New Roman"/>
          <w:color w:val="auto"/>
          <w:sz w:val="24"/>
          <w:lang w:val="en-US" w:eastAsia="zh-CN"/>
        </w:rPr>
        <w:t>中旱作标准限值</w:t>
      </w:r>
      <w:r>
        <w:rPr>
          <w:rFonts w:hint="eastAsia"/>
          <w:snapToGrid w:val="0"/>
          <w:kern w:val="0"/>
          <w:sz w:val="24"/>
        </w:rPr>
        <w:t>要求后，用于绿化或周边农田灌溉，不外排。</w:t>
      </w:r>
    </w:p>
    <w:p>
      <w:pPr>
        <w:spacing w:line="360" w:lineRule="auto"/>
        <w:ind w:firstLine="240" w:firstLineChars="100"/>
        <w:outlineLvl w:val="1"/>
        <w:rPr>
          <w:rFonts w:hint="default" w:ascii="Times New Roman" w:hAnsi="Times New Roman" w:cs="Times New Roman"/>
          <w:sz w:val="24"/>
        </w:rPr>
      </w:pPr>
      <w:r>
        <w:rPr>
          <w:rFonts w:hint="default" w:ascii="Times New Roman" w:hAnsi="Times New Roman" w:cs="Times New Roman"/>
          <w:sz w:val="24"/>
        </w:rPr>
        <w:t>（二）废气</w:t>
      </w:r>
    </w:p>
    <w:p>
      <w:pPr>
        <w:pStyle w:val="17"/>
        <w:numPr>
          <w:ilvl w:val="0"/>
          <w:numId w:val="0"/>
        </w:numPr>
        <w:spacing w:line="360" w:lineRule="auto"/>
        <w:ind w:firstLine="480"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本项目运营期废气包括油气（非甲烷总烃）、汽车尾气</w:t>
      </w:r>
      <w:r>
        <w:rPr>
          <w:rFonts w:hint="eastAsia" w:cs="Times New Roman"/>
          <w:color w:val="000000" w:themeColor="text1"/>
          <w:lang w:val="en-US" w:eastAsia="zh-CN"/>
          <w14:textFill>
            <w14:solidFill>
              <w14:schemeClr w14:val="tx1"/>
            </w14:solidFill>
          </w14:textFill>
        </w:rPr>
        <w:t>、油烟废气</w:t>
      </w:r>
      <w:r>
        <w:rPr>
          <w:rFonts w:hint="default" w:ascii="Times New Roman" w:hAnsi="Times New Roman" w:eastAsia="宋体" w:cs="Times New Roman"/>
          <w:color w:val="000000" w:themeColor="text1"/>
          <w:lang w:val="en-US" w:eastAsia="zh-CN"/>
          <w14:textFill>
            <w14:solidFill>
              <w14:schemeClr w14:val="tx1"/>
            </w14:solidFill>
          </w14:textFill>
        </w:rPr>
        <w:t>等。</w:t>
      </w:r>
    </w:p>
    <w:p>
      <w:pPr>
        <w:pStyle w:val="17"/>
        <w:numPr>
          <w:ilvl w:val="0"/>
          <w:numId w:val="2"/>
        </w:numPr>
        <w:spacing w:line="360" w:lineRule="auto"/>
        <w:ind w:firstLine="480"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非甲烷总烃</w:t>
      </w:r>
    </w:p>
    <w:p>
      <w:pPr>
        <w:pStyle w:val="17"/>
        <w:spacing w:line="360" w:lineRule="auto"/>
        <w:ind w:firstLine="480" w:firstLineChars="200"/>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项目非甲烷总烃（油气）主要为卸油、储油及加油过程排放的油气挥发损耗。为了减少油罐卸油、加油机作业由于跑冒滴漏造成的损失，建设</w:t>
      </w:r>
      <w:r>
        <w:rPr>
          <w:rFonts w:hint="default" w:ascii="Times New Roman" w:hAnsi="Times New Roman" w:cs="Times New Roman"/>
          <w:color w:val="000000" w:themeColor="text1"/>
          <w:lang w:eastAsia="zh-CN"/>
          <w14:textFill>
            <w14:solidFill>
              <w14:schemeClr w14:val="tx1"/>
            </w14:solidFill>
          </w14:textFill>
        </w:rPr>
        <w:t>单位</w:t>
      </w:r>
      <w:r>
        <w:rPr>
          <w:rFonts w:hint="default" w:ascii="Times New Roman" w:hAnsi="Times New Roman" w:cs="Times New Roman"/>
          <w:color w:val="000000" w:themeColor="text1"/>
          <w14:textFill>
            <w14:solidFill>
              <w14:schemeClr w14:val="tx1"/>
            </w14:solidFill>
          </w14:textFill>
        </w:rPr>
        <w:t>严格按照《汽车加油加气站设计与施工规范》（GB50220-2012）</w:t>
      </w:r>
      <w:r>
        <w:rPr>
          <w:rFonts w:hint="eastAsia" w:ascii="Times New Roman" w:hAnsi="Times New Roman" w:cs="Times New Roman"/>
          <w:color w:val="000000" w:themeColor="text1"/>
          <w:lang w:val="en-US" w:eastAsia="zh-CN"/>
          <w14:textFill>
            <w14:solidFill>
              <w14:schemeClr w14:val="tx1"/>
            </w14:solidFill>
          </w14:textFill>
        </w:rPr>
        <w:t>2014年版</w:t>
      </w:r>
      <w:r>
        <w:rPr>
          <w:rFonts w:hint="default" w:ascii="Times New Roman" w:hAnsi="Times New Roman" w:cs="Times New Roman"/>
          <w:color w:val="000000" w:themeColor="text1"/>
          <w14:textFill>
            <w14:solidFill>
              <w14:schemeClr w14:val="tx1"/>
            </w14:solidFill>
          </w14:textFill>
        </w:rPr>
        <w:t>及《加油站大气污染物排放标准》（GB20952-2007）要求，针对在用的汽油储罐、加油机建设方配套建设了一级油气回收系统（卸油油气回收系统）和二级油气回收系统（加油油气回收系统）</w:t>
      </w:r>
      <w:r>
        <w:rPr>
          <w:rFonts w:hint="eastAsia" w:ascii="Times New Roman" w:hAnsi="Times New Roman" w:cs="Times New Roman"/>
          <w:color w:val="000000" w:themeColor="text1"/>
          <w:lang w:eastAsia="zh-CN"/>
          <w14:textFill>
            <w14:solidFill>
              <w14:schemeClr w14:val="tx1"/>
            </w14:solidFill>
          </w14:textFill>
        </w:rPr>
        <w:t>。</w:t>
      </w:r>
    </w:p>
    <w:p>
      <w:pPr>
        <w:pStyle w:val="17"/>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汽车尾气</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加油站运行过程中，加油车辆及燃油配送运输车辆驶入、驶出时会排放尾气，主要污染物为NO</w:t>
      </w:r>
      <w:r>
        <w:rPr>
          <w:rFonts w:hint="default" w:ascii="Times New Roman" w:hAnsi="Times New Roman" w:eastAsia="宋体" w:cs="Times New Roman"/>
          <w:color w:val="000000" w:themeColor="text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非甲烷总烃</w:t>
      </w:r>
      <w:r>
        <w:rPr>
          <w:rFonts w:hint="default" w:ascii="Times New Roman" w:hAnsi="Times New Roman" w:eastAsia="宋体" w:cs="Times New Roman"/>
          <w:color w:val="000000" w:themeColor="text1"/>
          <w:lang w:val="en-US" w:eastAsia="zh-CN"/>
          <w14:textFill>
            <w14:solidFill>
              <w14:schemeClr w14:val="tx1"/>
            </w14:solidFill>
          </w14:textFill>
        </w:rPr>
        <w:t>，呈无组织排放。由于在站内行程较短，汽车尾气通过自然空气扩散，</w:t>
      </w:r>
      <w:r>
        <w:rPr>
          <w:rFonts w:hint="default" w:ascii="Times New Roman" w:hAnsi="Times New Roman" w:cs="Times New Roman"/>
          <w:color w:val="000000" w:themeColor="text1"/>
          <w:lang w:val="en-US" w:eastAsia="zh-CN"/>
          <w14:textFill>
            <w14:solidFill>
              <w14:schemeClr w14:val="tx1"/>
            </w14:solidFill>
          </w14:textFill>
        </w:rPr>
        <w:t>通过周边绿化带吸收，减少对周边环境的影响</w:t>
      </w:r>
      <w:r>
        <w:rPr>
          <w:rFonts w:hint="default" w:ascii="Times New Roman" w:hAnsi="Times New Roman" w:eastAsia="宋体" w:cs="Times New Roman"/>
          <w:color w:val="000000" w:themeColor="text1"/>
          <w:lang w:val="en-US" w:eastAsia="zh-CN"/>
          <w14:textFill>
            <w14:solidFill>
              <w14:schemeClr w14:val="tx1"/>
            </w14:solidFill>
          </w14:textFill>
        </w:rPr>
        <w:t>。</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cs="Times New Roman"/>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油烟废气</w:t>
      </w:r>
    </w:p>
    <w:p>
      <w:pPr>
        <w:tabs>
          <w:tab w:val="left" w:pos="742"/>
        </w:tabs>
        <w:spacing w:line="360" w:lineRule="auto"/>
        <w:ind w:firstLine="480" w:firstLineChars="200"/>
        <w:jc w:val="left"/>
        <w:rPr>
          <w:rFonts w:hint="eastAsia"/>
          <w:sz w:val="24"/>
          <w:lang w:eastAsia="zh-CN"/>
        </w:rPr>
      </w:pPr>
      <w:r>
        <w:rPr>
          <w:rFonts w:hint="eastAsia"/>
          <w:sz w:val="24"/>
        </w:rPr>
        <w:t>项目建有小型食堂，主要为员工提供就餐，每日用餐人数为4人，提供两餐，</w:t>
      </w:r>
      <w:r>
        <w:rPr>
          <w:sz w:val="24"/>
        </w:rPr>
        <w:t>不对外</w:t>
      </w:r>
      <w:r>
        <w:rPr>
          <w:rFonts w:hint="eastAsia"/>
          <w:sz w:val="24"/>
        </w:rPr>
        <w:t>开放</w:t>
      </w:r>
      <w:r>
        <w:rPr>
          <w:sz w:val="24"/>
        </w:rPr>
        <w:t>。食堂采用电源作为</w:t>
      </w:r>
      <w:r>
        <w:rPr>
          <w:rFonts w:hint="eastAsia"/>
          <w:sz w:val="24"/>
        </w:rPr>
        <w:t>能源</w:t>
      </w:r>
      <w:r>
        <w:rPr>
          <w:sz w:val="24"/>
        </w:rPr>
        <w:t>，烹制</w:t>
      </w:r>
      <w:r>
        <w:rPr>
          <w:rFonts w:hint="eastAsia"/>
          <w:sz w:val="24"/>
        </w:rPr>
        <w:t>时</w:t>
      </w:r>
      <w:r>
        <w:rPr>
          <w:sz w:val="24"/>
        </w:rPr>
        <w:t>产生的油烟废气量较小，</w:t>
      </w:r>
      <w:r>
        <w:rPr>
          <w:rFonts w:hint="eastAsia"/>
          <w:sz w:val="24"/>
        </w:rPr>
        <w:t>油烟废气经家庭式抽油烟机处理后至屋顶排放，</w:t>
      </w:r>
      <w:r>
        <w:rPr>
          <w:sz w:val="24"/>
        </w:rPr>
        <w:t>对</w:t>
      </w:r>
      <w:r>
        <w:rPr>
          <w:rFonts w:hint="eastAsia"/>
          <w:sz w:val="24"/>
        </w:rPr>
        <w:t>周边</w:t>
      </w:r>
      <w:r>
        <w:rPr>
          <w:sz w:val="24"/>
        </w:rPr>
        <w:t>环境影响较小</w:t>
      </w:r>
      <w:r>
        <w:rPr>
          <w:rFonts w:hint="eastAsia"/>
          <w:sz w:val="24"/>
          <w:lang w:eastAsia="zh-CN"/>
        </w:rPr>
        <w:t>。</w:t>
      </w:r>
    </w:p>
    <w:p>
      <w:pPr>
        <w:tabs>
          <w:tab w:val="left" w:pos="742"/>
        </w:tabs>
        <w:spacing w:line="360" w:lineRule="auto"/>
        <w:ind w:firstLine="240" w:firstLineChars="100"/>
        <w:jc w:val="left"/>
        <w:rPr>
          <w:rFonts w:hint="default" w:ascii="Times New Roman" w:hAnsi="Times New Roman" w:cs="Times New Roman"/>
          <w:color w:val="000000"/>
          <w:kern w:val="0"/>
          <w:sz w:val="24"/>
        </w:rPr>
      </w:pPr>
      <w:r>
        <w:rPr>
          <w:rFonts w:hint="default" w:ascii="Times New Roman" w:hAnsi="Times New Roman" w:cs="Times New Roman"/>
          <w:color w:val="000000"/>
          <w:sz w:val="24"/>
        </w:rPr>
        <w:t>（</w:t>
      </w:r>
      <w:r>
        <w:rPr>
          <w:rFonts w:hint="default" w:ascii="Times New Roman" w:hAnsi="Times New Roman" w:cs="Times New Roman"/>
          <w:color w:val="000000"/>
          <w:kern w:val="0"/>
          <w:sz w:val="24"/>
        </w:rPr>
        <w:t>三）噪声</w:t>
      </w:r>
    </w:p>
    <w:p>
      <w:pPr>
        <w:spacing w:line="360" w:lineRule="auto"/>
        <w:ind w:firstLine="480" w:firstLineChars="200"/>
        <w:outlineLvl w:val="1"/>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项目运营期噪声主要来自于辅助设备噪声如加油机、潜油泵；交通噪声如油罐车和加油车辆出入产生的交通噪声。根据项目运营特点，这些噪声均为不连续、间断噪声。目前企业采取的噪声治理措施为：</w:t>
      </w:r>
      <w:r>
        <w:rPr>
          <w:rFonts w:hint="default" w:ascii="Times New Roman" w:hAnsi="Times New Roman" w:cs="Times New Roman"/>
          <w:color w:val="000000" w:themeColor="text1"/>
          <w:sz w:val="24"/>
          <w:szCs w:val="24"/>
          <w:vertAlign w:val="baseline"/>
          <w:lang w:eastAsia="zh-CN"/>
          <w14:textFill>
            <w14:solidFill>
              <w14:schemeClr w14:val="tx1"/>
            </w14:solidFill>
          </w14:textFill>
        </w:rPr>
        <w:t>①加油泵、加油机、洗车机等选用低噪声设备，同时安装隔声垫，采用隔声、吸声、减震等措施；②出入区域来往的机动车辆严格管理，采用车辆进站时减速、禁止鸣笛、加油时车辆熄火和平稳启动等措施，使区域内的交通噪声降到最低值；③厂区周边种植绿化</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spacing w:line="360" w:lineRule="auto"/>
        <w:ind w:firstLine="240" w:firstLineChars="100"/>
        <w:outlineLvl w:val="1"/>
        <w:rPr>
          <w:rFonts w:hint="default" w:ascii="Times New Roman" w:hAnsi="Times New Roman" w:cs="Times New Roman"/>
          <w:sz w:val="24"/>
        </w:rPr>
      </w:pPr>
      <w:r>
        <w:rPr>
          <w:rFonts w:hint="default" w:ascii="Times New Roman" w:hAnsi="Times New Roman" w:cs="Times New Roman"/>
          <w:sz w:val="24"/>
        </w:rPr>
        <w:t>（四）固体废物</w:t>
      </w:r>
    </w:p>
    <w:p>
      <w:pPr>
        <w:spacing w:line="360" w:lineRule="auto"/>
        <w:ind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运营期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固废主要是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固体废弃物</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主要为职工生活垃圾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、化粪池污泥、废抹布、洗罐废油渣、隔油池废油、</w:t>
      </w:r>
      <w:r>
        <w:rPr>
          <w:rFonts w:hint="eastAsia"/>
          <w:sz w:val="24"/>
          <w:szCs w:val="24"/>
        </w:rPr>
        <w:t>含油消防沙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。生活垃圾和混入生活垃圾的废抹布及手套由环卫公司清运；化粪池污泥目前尚未清掏，后期清掏用于农田施肥；隔油池目前未清掏，后期清掏委托有资质单位进行处置；目前未有</w:t>
      </w:r>
      <w:r>
        <w:rPr>
          <w:rFonts w:hint="eastAsia"/>
          <w:sz w:val="24"/>
          <w:szCs w:val="24"/>
        </w:rPr>
        <w:t>含油消防沙</w:t>
      </w:r>
      <w:r>
        <w:rPr>
          <w:rFonts w:hint="eastAsia"/>
          <w:sz w:val="24"/>
          <w:szCs w:val="24"/>
          <w:lang w:eastAsia="zh-CN"/>
        </w:rPr>
        <w:t>；后期产生</w:t>
      </w:r>
      <w:r>
        <w:rPr>
          <w:rFonts w:hint="eastAsia"/>
          <w:sz w:val="24"/>
          <w:szCs w:val="24"/>
        </w:rPr>
        <w:t>含油消防沙</w:t>
      </w:r>
      <w:r>
        <w:rPr>
          <w:rFonts w:hint="eastAsia"/>
          <w:sz w:val="24"/>
          <w:szCs w:val="24"/>
          <w:lang w:eastAsia="zh-CN"/>
        </w:rPr>
        <w:t>交由有资质单位处置；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油罐平均每2年清理一次，清洗过程由专业清洗公司负责清洗，预计清洗油罐产生的废油渣和含油废水约为8t/次，废油渣和含油废水属于危险废物</w:t>
      </w:r>
      <w:r>
        <w:rPr>
          <w:rFonts w:hint="default" w:ascii="Times New Roman" w:hAnsi="Times New Roman" w:cs="Times New Roman"/>
          <w:bCs/>
          <w:color w:val="000000" w:themeColor="text1"/>
          <w:sz w:val="24"/>
          <w:szCs w:val="22"/>
          <w14:textFill>
            <w14:solidFill>
              <w14:schemeClr w14:val="tx1"/>
            </w14:solidFill>
          </w14:textFill>
        </w:rPr>
        <w:t>HW09</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bCs/>
          <w:color w:val="000000" w:themeColor="text1"/>
          <w:sz w:val="24"/>
          <w:szCs w:val="22"/>
          <w14:textFill>
            <w14:solidFill>
              <w14:schemeClr w14:val="tx1"/>
            </w14:solidFill>
          </w14:textFill>
        </w:rPr>
        <w:t>900-007-09</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），由有资质的专业清洗公司负责回收交由有资质单位进行处置，目前尚未清洗。</w:t>
      </w:r>
    </w:p>
    <w:p>
      <w:pPr>
        <w:spacing w:line="360" w:lineRule="auto"/>
        <w:ind w:firstLine="241" w:firstLineChars="100"/>
        <w:outlineLvl w:val="1"/>
        <w:rPr>
          <w:rFonts w:hint="default" w:ascii="Times New Roman" w:hAnsi="Times New Roman" w:cs="Times New Roman"/>
          <w:b/>
          <w:color w:val="000000"/>
          <w:sz w:val="24"/>
        </w:rPr>
      </w:pPr>
      <w:r>
        <w:rPr>
          <w:rFonts w:hint="default" w:ascii="Times New Roman" w:hAnsi="Times New Roman" w:cs="Times New Roman"/>
          <w:b/>
          <w:color w:val="000000"/>
          <w:sz w:val="24"/>
        </w:rPr>
        <w:t>三、环境保护设施调试效果</w:t>
      </w:r>
    </w:p>
    <w:p>
      <w:pPr>
        <w:pStyle w:val="26"/>
        <w:spacing w:beforeAutospacing="0" w:afterAutospacing="0" w:line="360" w:lineRule="auto"/>
        <w:ind w:firstLine="480" w:firstLineChars="200"/>
        <w:outlineLvl w:val="0"/>
        <w:rPr>
          <w:rFonts w:hint="default" w:ascii="Times New Roman" w:hAnsi="Times New Roman" w:cs="Times New Roman"/>
          <w:color w:val="000000"/>
        </w:rPr>
      </w:pPr>
      <w:r>
        <w:rPr>
          <w:rFonts w:hint="default" w:ascii="Times New Roman" w:hAnsi="Times New Roman" w:cs="Times New Roman"/>
          <w:color w:val="000000"/>
        </w:rPr>
        <w:t>1、废水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eastAsia="宋体" w:cs="Times New Roman"/>
          <w:b w:val="0"/>
          <w:bCs w:val="0"/>
          <w:color w:val="auto"/>
          <w:sz w:val="24"/>
          <w:szCs w:val="24"/>
        </w:rPr>
        <w:t>验收监测期间，</w:t>
      </w:r>
      <w:r>
        <w:rPr>
          <w:rFonts w:hint="default" w:ascii="Times New Roman" w:hAnsi="Times New Roman" w:cs="Times New Roman"/>
          <w:b w:val="0"/>
          <w:bCs w:val="0"/>
          <w:color w:val="auto"/>
          <w:sz w:val="24"/>
          <w:szCs w:val="24"/>
          <w:lang w:eastAsia="zh-CN"/>
        </w:rPr>
        <w:t>生活</w:t>
      </w:r>
      <w:r>
        <w:rPr>
          <w:rFonts w:hint="default" w:ascii="Times New Roman" w:hAnsi="Times New Roman" w:eastAsia="宋体" w:cs="Times New Roman"/>
          <w:b w:val="0"/>
          <w:bCs w:val="0"/>
          <w:color w:val="auto"/>
          <w:sz w:val="24"/>
          <w:szCs w:val="24"/>
        </w:rPr>
        <w:t>废水的pH值在</w:t>
      </w:r>
      <w:r>
        <w:rPr>
          <w:rFonts w:hint="eastAsia" w:ascii="Times New Roman" w:hAnsi="Times New Roman" w:cs="Times New Roman"/>
          <w:b w:val="0"/>
          <w:bCs w:val="0"/>
          <w:color w:val="auto"/>
          <w:sz w:val="24"/>
          <w:szCs w:val="24"/>
          <w:highlight w:val="none"/>
          <w:lang w:val="en-US" w:eastAsia="zh-CN"/>
        </w:rPr>
        <w:t>7.11</w:t>
      </w:r>
      <w:r>
        <w:rPr>
          <w:rFonts w:hint="default" w:ascii="Times New Roman" w:hAnsi="Times New Roman" w:cs="Times New Roman"/>
          <w:b w:val="0"/>
          <w:bCs w:val="0"/>
          <w:color w:val="auto"/>
          <w:sz w:val="24"/>
          <w:szCs w:val="24"/>
          <w:highlight w:val="none"/>
          <w:lang w:val="en-US" w:eastAsia="zh-CN"/>
        </w:rPr>
        <w:t>~</w:t>
      </w:r>
      <w:r>
        <w:rPr>
          <w:rFonts w:hint="eastAsia" w:ascii="Times New Roman" w:hAnsi="Times New Roman" w:cs="Times New Roman"/>
          <w:b w:val="0"/>
          <w:bCs w:val="0"/>
          <w:color w:val="auto"/>
          <w:sz w:val="24"/>
          <w:szCs w:val="24"/>
          <w:highlight w:val="none"/>
          <w:lang w:val="en-US" w:eastAsia="zh-CN"/>
        </w:rPr>
        <w:t>7.23</w:t>
      </w:r>
      <w:r>
        <w:rPr>
          <w:rFonts w:hint="default" w:ascii="Times New Roman" w:hAnsi="Times New Roman" w:eastAsia="宋体" w:cs="Times New Roman"/>
          <w:b w:val="0"/>
          <w:bCs w:val="0"/>
          <w:color w:val="auto"/>
          <w:sz w:val="24"/>
          <w:szCs w:val="24"/>
        </w:rPr>
        <w:t>之间</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悬浮物</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52</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COD</w:t>
      </w:r>
      <w:r>
        <w:rPr>
          <w:rFonts w:hint="default" w:ascii="Times New Roman" w:hAnsi="Times New Roman" w:eastAsia="宋体" w:cs="Times New Roman"/>
          <w:b w:val="0"/>
          <w:bCs w:val="0"/>
          <w:color w:val="auto"/>
          <w:sz w:val="24"/>
          <w:szCs w:val="24"/>
          <w:vertAlign w:val="subscript"/>
        </w:rPr>
        <w:t>C</w:t>
      </w:r>
      <w:r>
        <w:rPr>
          <w:rFonts w:hint="default" w:ascii="Times New Roman" w:hAnsi="Times New Roman" w:cs="Times New Roman"/>
          <w:b w:val="0"/>
          <w:bCs w:val="0"/>
          <w:color w:val="auto"/>
          <w:sz w:val="24"/>
          <w:szCs w:val="24"/>
          <w:vertAlign w:val="subscript"/>
          <w:lang w:val="en-US" w:eastAsia="zh-CN"/>
        </w:rPr>
        <w:t>r</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86</w:t>
      </w:r>
      <w:r>
        <w:rPr>
          <w:rFonts w:hint="default" w:ascii="Times New Roman" w:hAnsi="Times New Roman" w:eastAsia="宋体" w:cs="Times New Roman"/>
          <w:b w:val="0"/>
          <w:bCs w:val="0"/>
          <w:color w:val="auto"/>
          <w:sz w:val="24"/>
          <w:szCs w:val="24"/>
        </w:rPr>
        <w:t>mg/L</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BOD</w:t>
      </w:r>
      <w:r>
        <w:rPr>
          <w:rFonts w:hint="default" w:ascii="Times New Roman" w:hAnsi="Times New Roman" w:eastAsia="宋体" w:cs="Times New Roman"/>
          <w:b w:val="0"/>
          <w:bCs w:val="0"/>
          <w:color w:val="auto"/>
          <w:sz w:val="24"/>
          <w:szCs w:val="24"/>
          <w:vertAlign w:val="subscript"/>
        </w:rPr>
        <w:t>5</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16.4</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氨氮</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9.97</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石油类</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0.30</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；动植物油日均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3.57</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本次监测生活废水中污染因子</w:t>
      </w:r>
      <w:r>
        <w:rPr>
          <w:rFonts w:hint="default" w:ascii="Times New Roman" w:hAnsi="Times New Roman" w:eastAsia="宋体" w:cs="Times New Roman"/>
          <w:color w:val="auto"/>
          <w:sz w:val="24"/>
          <w:szCs w:val="24"/>
          <w:lang w:val="en-US" w:eastAsia="zh-CN"/>
        </w:rPr>
        <w:t>pH、</w:t>
      </w:r>
      <w:r>
        <w:rPr>
          <w:rFonts w:hint="default" w:ascii="Times New Roman" w:hAnsi="Times New Roman" w:eastAsia="宋体" w:cs="Times New Roman"/>
          <w:color w:val="auto"/>
          <w:sz w:val="24"/>
          <w:szCs w:val="24"/>
        </w:rPr>
        <w:t>COD</w:t>
      </w:r>
      <w:r>
        <w:rPr>
          <w:rFonts w:hint="default" w:ascii="Times New Roman" w:hAnsi="Times New Roman" w:eastAsia="宋体" w:cs="Times New Roman"/>
          <w:color w:val="auto"/>
          <w:sz w:val="24"/>
          <w:szCs w:val="24"/>
          <w:vertAlign w:val="subscript"/>
        </w:rPr>
        <w:t>cr</w:t>
      </w:r>
      <w:r>
        <w:rPr>
          <w:rFonts w:hint="default" w:ascii="Times New Roman" w:hAnsi="Times New Roman" w:cs="Times New Roman"/>
          <w:color w:val="auto"/>
          <w:sz w:val="24"/>
          <w:szCs w:val="24"/>
          <w:lang w:val="en-US" w:eastAsia="zh-CN"/>
        </w:rPr>
        <w:t>、BOD</w:t>
      </w:r>
      <w:r>
        <w:rPr>
          <w:rFonts w:hint="default" w:ascii="Times New Roman" w:hAnsi="Times New Roman" w:cs="Times New Roman"/>
          <w:color w:val="auto"/>
          <w:sz w:val="24"/>
          <w:szCs w:val="24"/>
          <w:vertAlign w:val="subscript"/>
          <w:lang w:val="en-US" w:eastAsia="zh-CN"/>
        </w:rPr>
        <w:t>5</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SS</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石油类5</w:t>
      </w:r>
      <w:r>
        <w:rPr>
          <w:rFonts w:hint="default" w:ascii="Times New Roman" w:hAnsi="Times New Roman" w:eastAsia="宋体" w:cs="Times New Roman"/>
          <w:b w:val="0"/>
          <w:bCs w:val="0"/>
          <w:color w:val="auto"/>
          <w:sz w:val="24"/>
          <w:szCs w:val="24"/>
          <w:lang w:eastAsia="zh-CN"/>
        </w:rPr>
        <w:t>项指标排放浓度均符合</w:t>
      </w:r>
      <w:r>
        <w:rPr>
          <w:rFonts w:hint="eastAsia" w:ascii="Times New Roman" w:hAnsi="Times New Roman" w:eastAsia="宋体" w:cs="Times New Roman"/>
          <w:color w:val="auto"/>
          <w:sz w:val="24"/>
          <w:szCs w:val="24"/>
          <w:lang w:eastAsia="zh-CN"/>
        </w:rPr>
        <w:t>《污水综合排放标准》（</w:t>
      </w:r>
      <w:r>
        <w:rPr>
          <w:rFonts w:hint="eastAsia" w:ascii="Times New Roman" w:hAnsi="Times New Roman" w:eastAsia="宋体" w:cs="Times New Roman"/>
          <w:color w:val="auto"/>
          <w:sz w:val="24"/>
          <w:szCs w:val="24"/>
          <w:lang w:val="en-US" w:eastAsia="zh-CN"/>
        </w:rPr>
        <w:t>GB 8978-1996</w:t>
      </w:r>
      <w:r>
        <w:rPr>
          <w:rFonts w:hint="eastAsia" w:ascii="Times New Roman" w:hAnsi="Times New Roman" w:eastAsia="宋体" w:cs="Times New Roman"/>
          <w:color w:val="auto"/>
          <w:sz w:val="24"/>
          <w:szCs w:val="24"/>
          <w:lang w:eastAsia="zh-CN"/>
        </w:rPr>
        <w:t>）表</w:t>
      </w:r>
      <w:r>
        <w:rPr>
          <w:rFonts w:hint="eastAsia" w:ascii="Times New Roman" w:hAnsi="Times New Roman" w:eastAsia="宋体" w:cs="Times New Roman"/>
          <w:color w:val="auto"/>
          <w:sz w:val="24"/>
          <w:szCs w:val="24"/>
          <w:lang w:val="en-US" w:eastAsia="zh-CN"/>
        </w:rPr>
        <w:t>4中一级标准及</w:t>
      </w:r>
      <w:r>
        <w:rPr>
          <w:rFonts w:hint="default" w:ascii="Times New Roman" w:hAnsi="Times New Roman" w:cs="Times New Roman"/>
          <w:b w:val="0"/>
          <w:bCs w:val="0"/>
          <w:color w:val="auto"/>
          <w:sz w:val="24"/>
          <w:szCs w:val="24"/>
          <w:lang w:eastAsia="zh-CN"/>
        </w:rPr>
        <w:t>《农田灌溉水质标准》（</w:t>
      </w:r>
      <w:r>
        <w:rPr>
          <w:rFonts w:hint="default" w:ascii="Times New Roman" w:hAnsi="Times New Roman" w:cs="Times New Roman"/>
          <w:b w:val="0"/>
          <w:bCs w:val="0"/>
          <w:color w:val="auto"/>
          <w:sz w:val="24"/>
          <w:szCs w:val="24"/>
          <w:lang w:val="en-US" w:eastAsia="zh-CN"/>
        </w:rPr>
        <w:t>GB5084-2005）中旱作标准</w:t>
      </w:r>
      <w:r>
        <w:rPr>
          <w:rFonts w:hint="default" w:ascii="Times New Roman" w:hAnsi="Times New Roman" w:cs="Times New Roman"/>
          <w:b w:val="0"/>
          <w:bCs w:val="0"/>
          <w:color w:val="auto"/>
          <w:sz w:val="24"/>
          <w:szCs w:val="24"/>
          <w:lang w:eastAsia="zh-CN"/>
        </w:rPr>
        <w:t>要求</w:t>
      </w:r>
      <w:r>
        <w:rPr>
          <w:rFonts w:hint="eastAsia" w:ascii="Times New Roman" w:hAnsi="Times New Roman" w:cs="Times New Roman"/>
          <w:b w:val="0"/>
          <w:bCs w:val="0"/>
          <w:color w:val="auto"/>
          <w:sz w:val="24"/>
          <w:szCs w:val="24"/>
          <w:lang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验收监测期间，</w:t>
      </w:r>
      <w:r>
        <w:rPr>
          <w:rFonts w:hint="default" w:ascii="Times New Roman" w:hAnsi="Times New Roman" w:cs="Times New Roman"/>
          <w:color w:val="auto"/>
          <w:sz w:val="24"/>
          <w:szCs w:val="24"/>
          <w:lang w:eastAsia="zh-CN"/>
        </w:rPr>
        <w:t>厂界</w:t>
      </w:r>
      <w:r>
        <w:rPr>
          <w:rFonts w:hint="default" w:ascii="Times New Roman" w:hAnsi="Times New Roman" w:cs="Times New Roman"/>
          <w:color w:val="auto"/>
          <w:kern w:val="0"/>
          <w:sz w:val="24"/>
          <w:lang w:eastAsia="zh-CN"/>
        </w:rPr>
        <w:t>无组织非甲烷总烃的浓度值在</w:t>
      </w:r>
      <w:r>
        <w:rPr>
          <w:rFonts w:hint="eastAsia" w:ascii="Times New Roman" w:hAnsi="Times New Roman" w:cs="Times New Roman"/>
          <w:color w:val="auto"/>
          <w:kern w:val="0"/>
          <w:sz w:val="24"/>
          <w:highlight w:val="none"/>
          <w:lang w:val="en-US" w:eastAsia="zh-CN"/>
        </w:rPr>
        <w:t>0.15</w:t>
      </w:r>
      <w:r>
        <w:rPr>
          <w:rFonts w:hint="default" w:ascii="Times New Roman" w:hAnsi="Times New Roman" w:cs="Times New Roman"/>
          <w:color w:val="auto"/>
          <w:kern w:val="0"/>
          <w:sz w:val="24"/>
          <w:highlight w:val="none"/>
        </w:rPr>
        <w:t>mg/m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w:t>
      </w:r>
      <w:r>
        <w:rPr>
          <w:rFonts w:hint="eastAsia" w:ascii="Times New Roman" w:hAnsi="Times New Roman" w:cs="Times New Roman"/>
          <w:color w:val="auto"/>
          <w:kern w:val="0"/>
          <w:sz w:val="24"/>
          <w:highlight w:val="none"/>
          <w:lang w:val="en-US" w:eastAsia="zh-CN"/>
        </w:rPr>
        <w:t>0.42</w:t>
      </w:r>
      <w:r>
        <w:rPr>
          <w:rFonts w:hint="default" w:ascii="Times New Roman" w:hAnsi="Times New Roman" w:cs="Times New Roman"/>
          <w:color w:val="auto"/>
          <w:kern w:val="0"/>
          <w:sz w:val="24"/>
          <w:highlight w:val="none"/>
        </w:rPr>
        <w:t>mg/m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rPr>
        <w:t>之间</w:t>
      </w:r>
      <w:r>
        <w:rPr>
          <w:rFonts w:hint="default" w:ascii="Times New Roman" w:hAnsi="Times New Roman" w:cs="Times New Roman"/>
          <w:color w:val="auto"/>
          <w:kern w:val="0"/>
          <w:sz w:val="24"/>
          <w:lang w:eastAsia="zh-CN"/>
        </w:rPr>
        <w:t>，符合</w:t>
      </w:r>
      <w:r>
        <w:rPr>
          <w:rFonts w:hint="default" w:ascii="Times New Roman" w:hAnsi="Times New Roman" w:cs="Times New Roman"/>
          <w:color w:val="auto"/>
          <w:kern w:val="0"/>
          <w:sz w:val="24"/>
        </w:rPr>
        <w:t>《大气污染物综合排放标准》（GB16297-1996）表2无组织排放监控浓度限值要求</w:t>
      </w:r>
      <w:r>
        <w:rPr>
          <w:rFonts w:hint="default"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3、厂界噪声</w:t>
      </w:r>
    </w:p>
    <w:p>
      <w:pPr>
        <w:pStyle w:val="2"/>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验收监测期间：项目厂界</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val="en-US" w:eastAsia="zh-CN"/>
        </w:rPr>
        <w:t>点位</w:t>
      </w:r>
      <w:r>
        <w:rPr>
          <w:rFonts w:hint="default" w:ascii="Times New Roman" w:hAnsi="Times New Roman" w:cs="Times New Roman"/>
          <w:color w:val="auto"/>
          <w:sz w:val="24"/>
          <w:szCs w:val="24"/>
          <w:lang w:eastAsia="zh-CN"/>
        </w:rPr>
        <w:t>昼间噪声测量最大值为</w:t>
      </w:r>
      <w:r>
        <w:rPr>
          <w:rFonts w:hint="eastAsia" w:ascii="Times New Roman" w:hAnsi="Times New Roman" w:cs="Times New Roman"/>
          <w:color w:val="auto"/>
          <w:sz w:val="24"/>
          <w:szCs w:val="24"/>
          <w:lang w:val="en-US" w:eastAsia="zh-CN"/>
        </w:rPr>
        <w:t>61.0</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，夜间噪声测量最大值为</w:t>
      </w:r>
      <w:r>
        <w:rPr>
          <w:rFonts w:hint="eastAsia" w:ascii="Times New Roman" w:hAnsi="Times New Roman" w:cs="Times New Roman"/>
          <w:color w:val="auto"/>
          <w:sz w:val="24"/>
          <w:szCs w:val="24"/>
          <w:lang w:val="en-US" w:eastAsia="zh-CN"/>
        </w:rPr>
        <w:t>49.7</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val="en-US" w:eastAsia="zh-CN"/>
        </w:rPr>
        <w:t>点位噪声</w:t>
      </w:r>
      <w:r>
        <w:rPr>
          <w:rFonts w:hint="default" w:ascii="Times New Roman" w:hAnsi="Times New Roman" w:cs="Times New Roman"/>
          <w:color w:val="auto"/>
          <w:sz w:val="24"/>
          <w:szCs w:val="24"/>
          <w:lang w:eastAsia="zh-CN"/>
        </w:rPr>
        <w:t>符合《工业企业厂界环境噪声排放标准》（GB12348-2008）</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类功能区标准限值；▲</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val="en-US" w:eastAsia="zh-CN"/>
        </w:rPr>
        <w:t>点位</w:t>
      </w:r>
      <w:r>
        <w:rPr>
          <w:rFonts w:hint="default" w:ascii="Times New Roman" w:hAnsi="Times New Roman" w:cs="Times New Roman"/>
          <w:color w:val="auto"/>
          <w:sz w:val="24"/>
          <w:szCs w:val="24"/>
          <w:lang w:eastAsia="zh-CN"/>
        </w:rPr>
        <w:t>昼间噪声测量最大值</w:t>
      </w:r>
      <w:r>
        <w:rPr>
          <w:rFonts w:hint="eastAsia" w:ascii="Times New Roman" w:hAnsi="Times New Roman" w:cs="Times New Roman"/>
          <w:color w:val="auto"/>
          <w:sz w:val="24"/>
          <w:szCs w:val="24"/>
          <w:lang w:val="en-US" w:eastAsia="zh-CN"/>
        </w:rPr>
        <w:t>57.0</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，夜间噪声测量最大值为</w:t>
      </w:r>
      <w:r>
        <w:rPr>
          <w:rFonts w:hint="eastAsia" w:ascii="Times New Roman" w:hAnsi="Times New Roman" w:cs="Times New Roman"/>
          <w:color w:val="auto"/>
          <w:sz w:val="24"/>
          <w:szCs w:val="24"/>
          <w:lang w:val="en-US" w:eastAsia="zh-CN"/>
        </w:rPr>
        <w:t>47.7</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点位噪声</w:t>
      </w:r>
      <w:r>
        <w:rPr>
          <w:rFonts w:hint="default" w:ascii="Times New Roman" w:hAnsi="Times New Roman" w:cs="Times New Roman"/>
          <w:color w:val="auto"/>
          <w:sz w:val="24"/>
          <w:szCs w:val="24"/>
          <w:lang w:eastAsia="zh-CN"/>
        </w:rPr>
        <w:t>符合《工业企业厂界环境噪声排放标准》（GB12348-2008）</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类</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功能区标准限值。</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sz w:val="24"/>
        </w:rPr>
      </w:pPr>
      <w:r>
        <w:rPr>
          <w:rFonts w:hint="eastAsia" w:ascii="Times New Roman" w:hAnsi="Times New Roman" w:cs="Times New Roman"/>
          <w:sz w:val="24"/>
          <w:lang w:val="en-US" w:eastAsia="zh-CN"/>
        </w:rPr>
        <w:t>4</w:t>
      </w:r>
      <w:r>
        <w:rPr>
          <w:rFonts w:hint="default" w:ascii="Times New Roman" w:hAnsi="Times New Roman" w:cs="Times New Roman"/>
          <w:sz w:val="24"/>
        </w:rPr>
        <w:t>、污染物排放总量</w:t>
      </w:r>
    </w:p>
    <w:p>
      <w:pPr>
        <w:pStyle w:val="5"/>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color w:val="auto"/>
          <w:sz w:val="24"/>
          <w:szCs w:val="24"/>
          <w:lang w:val="en-US" w:eastAsia="zh-CN"/>
        </w:rPr>
        <w:t>项目废水不外排，废气以无组织排放，本项目无需申请总量</w:t>
      </w:r>
      <w:r>
        <w:rPr>
          <w:rFonts w:hint="default" w:ascii="Times New Roman" w:hAnsi="Times New Roman" w:cs="Times New Roman"/>
          <w:sz w:val="24"/>
          <w:szCs w:val="24"/>
          <w:lang w:val="en-US" w:eastAsia="zh-CN"/>
        </w:rPr>
        <w:t>。</w:t>
      </w:r>
    </w:p>
    <w:p>
      <w:pPr>
        <w:pStyle w:val="26"/>
        <w:numPr>
          <w:ilvl w:val="0"/>
          <w:numId w:val="3"/>
        </w:numPr>
        <w:spacing w:beforeAutospacing="0" w:afterAutospacing="0" w:line="360" w:lineRule="auto"/>
        <w:outlineLvl w:val="0"/>
        <w:rPr>
          <w:rFonts w:hint="default" w:ascii="Times New Roman" w:hAnsi="Times New Roman" w:cs="Times New Roman"/>
          <w:b/>
          <w:color w:val="000000"/>
        </w:rPr>
      </w:pPr>
      <w:r>
        <w:rPr>
          <w:rFonts w:hint="default" w:ascii="Times New Roman" w:hAnsi="Times New Roman" w:cs="Times New Roman"/>
          <w:b/>
          <w:color w:val="000000"/>
          <w:sz w:val="24"/>
          <w:szCs w:val="24"/>
          <w:lang w:eastAsia="zh-CN"/>
        </w:rPr>
        <w:t>存在的问题和要求</w:t>
      </w:r>
    </w:p>
    <w:p>
      <w:pPr>
        <w:pStyle w:val="26"/>
        <w:numPr>
          <w:ilvl w:val="0"/>
          <w:numId w:val="0"/>
        </w:numPr>
        <w:spacing w:beforeAutospacing="0" w:afterAutospacing="0" w:line="360" w:lineRule="auto"/>
        <w:outlineLvl w:val="0"/>
        <w:rPr>
          <w:rFonts w:hint="default" w:ascii="Times New Roman" w:hAnsi="Times New Roman" w:cs="Times New Roman"/>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（一）存在的问题及要求</w:t>
      </w:r>
    </w:p>
    <w:p>
      <w:pPr>
        <w:pStyle w:val="5"/>
        <w:spacing w:line="360" w:lineRule="auto"/>
        <w:ind w:firstLine="480" w:firstLineChars="200"/>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w:t>
      </w:r>
      <w:r>
        <w:rPr>
          <w:rFonts w:hint="eastAsia"/>
          <w:sz w:val="24"/>
          <w:szCs w:val="24"/>
          <w:lang w:eastAsia="zh-CN"/>
        </w:rPr>
        <w:t>卸油区管沟与隔油池之间的连接管道容易堵塞，要求进一步优化设计，同时加密管沟清理维护频次，确保卸油区泄露油污或初期雨水能够顺畅的进入隔油池处理</w:t>
      </w:r>
      <w:r>
        <w:rPr>
          <w:rFonts w:hint="eastAsia"/>
          <w:sz w:val="24"/>
          <w:szCs w:val="24"/>
          <w:lang w:eastAsia="zh-CN"/>
        </w:rPr>
        <w:t>。</w:t>
      </w:r>
    </w:p>
    <w:p>
      <w:pPr>
        <w:pStyle w:val="5"/>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r>
        <w:rPr>
          <w:rFonts w:hint="eastAsia" w:ascii="Times New Roman" w:hAnsi="Times New Roman" w:cs="Times New Roman"/>
          <w:sz w:val="24"/>
          <w:szCs w:val="24"/>
          <w:lang w:eastAsia="zh-CN"/>
        </w:rPr>
        <w:t>企业未编制</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sz w:val="24"/>
          <w:szCs w:val="24"/>
          <w:lang w:eastAsia="zh-CN"/>
        </w:rPr>
        <w:t>突发环境事件环境风险应急预案</w:t>
      </w:r>
      <w:r>
        <w:rPr>
          <w:rFonts w:hint="eastAsia" w:asciiTheme="minorEastAsia" w:hAnsiTheme="minorEastAsia" w:eastAsiaTheme="minorEastAsia" w:cstheme="minorEastAsia"/>
          <w:i w:val="0"/>
          <w:caps w:val="0"/>
          <w:color w:val="000000"/>
          <w:spacing w:val="0"/>
          <w:sz w:val="24"/>
          <w:szCs w:val="24"/>
          <w:shd w:val="clear" w:fill="FFFFFF"/>
          <w:lang w:eastAsia="zh-CN"/>
        </w:rPr>
        <w:t>》，要求企业</w:t>
      </w:r>
      <w:r>
        <w:rPr>
          <w:rFonts w:hint="eastAsia" w:asciiTheme="minorEastAsia" w:hAnsiTheme="minorEastAsia" w:eastAsiaTheme="minorEastAsia" w:cstheme="minorEastAsia"/>
          <w:i w:val="0"/>
          <w:caps w:val="0"/>
          <w:color w:val="000000"/>
          <w:spacing w:val="0"/>
          <w:sz w:val="24"/>
          <w:szCs w:val="24"/>
          <w:shd w:val="clear" w:fill="FFFFFF"/>
        </w:rPr>
        <w:t>编制</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sz w:val="24"/>
          <w:szCs w:val="24"/>
          <w:lang w:eastAsia="zh-CN"/>
        </w:rPr>
        <w:t>突发环境事件环境风险应急预案</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asciiTheme="minorEastAsia" w:hAnsiTheme="minorEastAsia" w:eastAsiaTheme="minorEastAsia" w:cstheme="minorEastAsia"/>
          <w:i w:val="0"/>
          <w:caps w:val="0"/>
          <w:color w:val="000000"/>
          <w:spacing w:val="0"/>
          <w:sz w:val="24"/>
          <w:szCs w:val="24"/>
          <w:shd w:val="clear" w:fill="FFFFFF"/>
        </w:rPr>
        <w:t>并在环保主管部门备案</w:t>
      </w:r>
      <w:r>
        <w:rPr>
          <w:rFonts w:hint="default" w:ascii="Times New Roman" w:hAnsi="Times New Roman" w:cs="Times New Roman"/>
          <w:sz w:val="24"/>
          <w:szCs w:val="24"/>
        </w:rPr>
        <w:t>。</w:t>
      </w:r>
    </w:p>
    <w:bookmarkEnd w:id="0"/>
    <w:p>
      <w:pPr>
        <w:pStyle w:val="26"/>
        <w:numPr>
          <w:ilvl w:val="0"/>
          <w:numId w:val="0"/>
        </w:numPr>
        <w:spacing w:beforeAutospacing="0" w:afterAutospacing="0" w:line="360" w:lineRule="auto"/>
        <w:outlineLvl w:val="0"/>
        <w:rPr>
          <w:rFonts w:hint="eastAsia" w:ascii="Times New Roman" w:hAnsi="Times New Roman" w:cs="Times New Roman"/>
          <w:b w:val="0"/>
          <w:bCs/>
          <w:i w:val="0"/>
          <w:iCs w:val="0"/>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i w:val="0"/>
          <w:iCs w:val="0"/>
          <w:color w:val="000000" w:themeColor="text1"/>
          <w:sz w:val="24"/>
          <w:szCs w:val="24"/>
          <w:lang w:val="en-US" w:eastAsia="zh-CN"/>
          <w14:textFill>
            <w14:solidFill>
              <w14:schemeClr w14:val="tx1"/>
            </w14:solidFill>
          </w14:textFill>
        </w:rPr>
        <w:t>（二）《验收监测报告》修改及完善意见</w:t>
      </w:r>
    </w:p>
    <w:p>
      <w:pPr>
        <w:pStyle w:val="17"/>
        <w:spacing w:line="360" w:lineRule="auto"/>
        <w:ind w:firstLine="480" w:firstLineChars="200"/>
        <w:rPr>
          <w:rFonts w:hint="default" w:ascii="Times New Roman" w:hAnsi="Times New Roman" w:cs="Times New Roman"/>
        </w:rPr>
      </w:pPr>
      <w:r>
        <w:rPr>
          <w:rFonts w:hint="eastAsia"/>
          <w:lang w:eastAsia="zh-CN"/>
        </w:rPr>
        <w:t>（</w:t>
      </w:r>
      <w:r>
        <w:rPr>
          <w:rFonts w:hint="default" w:ascii="Times New Roman" w:hAnsi="Times New Roman" w:cs="Times New Roman"/>
          <w:lang w:val="en-US" w:eastAsia="zh-CN"/>
        </w:rPr>
        <w:t>1</w:t>
      </w:r>
      <w:r>
        <w:rPr>
          <w:rFonts w:hint="eastAsia"/>
          <w:lang w:eastAsia="zh-CN"/>
        </w:rPr>
        <w:t>）报告中进一步分析废水处理依托可行性。</w:t>
      </w:r>
    </w:p>
    <w:p>
      <w:pPr>
        <w:pStyle w:val="17"/>
        <w:spacing w:line="360" w:lineRule="auto"/>
        <w:ind w:firstLine="480" w:firstLineChars="200"/>
        <w:rPr>
          <w:rFonts w:hint="eastAsia" w:ascii="Times New Roman" w:hAnsi="Times New Roman" w:eastAsia="宋体" w:cs="Times New Roman"/>
          <w:lang w:eastAsia="zh-CN"/>
        </w:rPr>
      </w:pPr>
      <w:r>
        <w:rPr>
          <w:rFonts w:hint="default" w:ascii="Times New Roman" w:hAnsi="Times New Roman" w:cs="Times New Roman"/>
        </w:rPr>
        <w:t>（</w:t>
      </w:r>
      <w:r>
        <w:rPr>
          <w:rFonts w:hint="eastAsia" w:ascii="Times New Roman" w:hAnsi="Times New Roman" w:cs="Times New Roman"/>
          <w:lang w:val="en-US" w:eastAsia="zh-CN"/>
        </w:rPr>
        <w:t>2</w:t>
      </w:r>
      <w:r>
        <w:rPr>
          <w:rFonts w:hint="default" w:ascii="Times New Roman" w:hAnsi="Times New Roman" w:cs="Times New Roman"/>
        </w:rPr>
        <w:t>）</w:t>
      </w:r>
      <w:r>
        <w:rPr>
          <w:rFonts w:hint="eastAsia" w:ascii="Times New Roman" w:hAnsi="Times New Roman" w:cs="Times New Roman"/>
          <w:lang w:eastAsia="zh-CN"/>
        </w:rPr>
        <w:t>报告中进一步明确危废储存和处置方式。</w:t>
      </w:r>
    </w:p>
    <w:p>
      <w:pPr>
        <w:spacing w:line="360" w:lineRule="auto"/>
        <w:ind w:firstLine="482" w:firstLineChars="200"/>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五、验收组结论</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验收组认为：该项目基本落实了环评及批复中规定的各项环保设施和措施要求，基本符合《建设项目竣工环境保护验收暂行办法》的相关规定，在进一步落实上述整改要求且完善验收监测报告的前提下，具备竣工环境保护验收合格条件。</w:t>
      </w:r>
    </w:p>
    <w:p>
      <w:pPr>
        <w:pStyle w:val="26"/>
        <w:spacing w:beforeAutospacing="0" w:afterAutospacing="0" w:line="360" w:lineRule="auto"/>
        <w:ind w:firstLine="480" w:firstLineChars="200"/>
        <w:outlineLvl w:val="0"/>
        <w:rPr>
          <w:rFonts w:hint="default" w:ascii="Times New Roman" w:hAnsi="Times New Roman" w:cs="Times New Roman"/>
          <w:color w:val="FF0000"/>
        </w:rPr>
      </w:pPr>
    </w:p>
    <w:p>
      <w:pPr>
        <w:pStyle w:val="26"/>
        <w:spacing w:beforeAutospacing="0" w:afterAutospacing="0" w:line="360" w:lineRule="auto"/>
        <w:ind w:firstLine="480" w:firstLineChars="200"/>
        <w:outlineLvl w:val="0"/>
        <w:rPr>
          <w:rFonts w:hint="default" w:ascii="Times New Roman" w:hAnsi="Times New Roman" w:cs="Times New Roman"/>
          <w:color w:val="FF0000"/>
        </w:rPr>
      </w:pPr>
    </w:p>
    <w:p>
      <w:pPr>
        <w:pStyle w:val="17"/>
        <w:spacing w:line="360" w:lineRule="auto"/>
        <w:jc w:val="right"/>
        <w:rPr>
          <w:rFonts w:hint="eastAsia" w:ascii="Times New Roman" w:hAnsi="Times New Roman" w:eastAsia="宋体" w:cs="Times New Roman"/>
          <w:kern w:val="2"/>
          <w:szCs w:val="24"/>
          <w:lang w:eastAsia="zh-CN"/>
        </w:rPr>
      </w:pPr>
      <w:r>
        <w:rPr>
          <w:rFonts w:hint="default" w:ascii="Times New Roman" w:hAnsi="Times New Roman" w:cs="Times New Roman"/>
          <w:kern w:val="2"/>
          <w:szCs w:val="24"/>
        </w:rPr>
        <w:t xml:space="preserve">                           </w:t>
      </w:r>
      <w:r>
        <w:rPr>
          <w:rFonts w:hint="eastAsia" w:ascii="Times New Roman" w:hAnsi="Times New Roman" w:cs="Times New Roman"/>
          <w:sz w:val="24"/>
          <w:lang w:eastAsia="zh-CN"/>
        </w:rPr>
        <w:t>中国石化销售股份有限公司湖北咸宁石油分公司</w:t>
      </w:r>
    </w:p>
    <w:p>
      <w:pPr>
        <w:pStyle w:val="17"/>
        <w:spacing w:line="360" w:lineRule="auto"/>
        <w:jc w:val="right"/>
        <w:rPr>
          <w:rFonts w:hint="default" w:ascii="Times New Roman" w:hAnsi="Times New Roman" w:cs="Times New Roman"/>
          <w:kern w:val="2"/>
          <w:szCs w:val="24"/>
        </w:rPr>
      </w:pPr>
      <w:r>
        <w:rPr>
          <w:rFonts w:hint="default" w:ascii="Times New Roman" w:hAnsi="Times New Roman" w:cs="Times New Roman"/>
          <w:kern w:val="2"/>
          <w:szCs w:val="24"/>
        </w:rPr>
        <w:t>竣工环境保护现场验收组</w:t>
      </w:r>
    </w:p>
    <w:p>
      <w:pPr>
        <w:pStyle w:val="17"/>
        <w:spacing w:line="360" w:lineRule="auto"/>
        <w:jc w:val="righ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szCs w:val="24"/>
        </w:rPr>
        <w:t>20</w:t>
      </w:r>
      <w:r>
        <w:rPr>
          <w:rFonts w:hint="eastAsia" w:ascii="Times New Roman" w:hAnsi="Times New Roman" w:cs="Times New Roman"/>
          <w:szCs w:val="24"/>
          <w:lang w:val="en-US" w:eastAsia="zh-CN"/>
        </w:rPr>
        <w:t>20</w:t>
      </w:r>
      <w:r>
        <w:rPr>
          <w:rFonts w:hint="default" w:ascii="Times New Roman" w:hAnsi="Times New Roman" w:cs="Times New Roman"/>
          <w:color w:val="000000" w:themeColor="text1"/>
          <w:szCs w:val="24"/>
          <w14:textFill>
            <w14:solidFill>
              <w14:schemeClr w14:val="tx1"/>
            </w14:solidFill>
          </w14:textFill>
        </w:rPr>
        <w:t>年0</w:t>
      </w:r>
      <w:r>
        <w:rPr>
          <w:rFonts w:hint="eastAsia" w:ascii="Times New Roman" w:hAnsi="Times New Roman" w:cs="Times New Roman"/>
          <w:color w:val="000000" w:themeColor="text1"/>
          <w:szCs w:val="24"/>
          <w:lang w:val="en-US" w:eastAsia="zh-CN"/>
          <w14:textFill>
            <w14:solidFill>
              <w14:schemeClr w14:val="tx1"/>
            </w14:solidFill>
          </w14:textFill>
        </w:rPr>
        <w:t>6</w:t>
      </w:r>
      <w:r>
        <w:rPr>
          <w:rFonts w:hint="default" w:ascii="Times New Roman" w:hAnsi="Times New Roman" w:cs="Times New Roman"/>
          <w:color w:val="000000" w:themeColor="text1"/>
          <w:szCs w:val="24"/>
          <w14:textFill>
            <w14:solidFill>
              <w14:schemeClr w14:val="tx1"/>
            </w14:solidFill>
          </w14:textFill>
        </w:rPr>
        <w:t>月</w:t>
      </w:r>
      <w:r>
        <w:rPr>
          <w:rFonts w:hint="eastAsia" w:ascii="Times New Roman" w:hAnsi="Times New Roman" w:cs="Times New Roman"/>
          <w:color w:val="000000" w:themeColor="text1"/>
          <w:szCs w:val="24"/>
          <w:lang w:val="en-US" w:eastAsia="zh-CN"/>
          <w14:textFill>
            <w14:solidFill>
              <w14:schemeClr w14:val="tx1"/>
            </w14:solidFill>
          </w14:textFill>
        </w:rPr>
        <w:t>24</w:t>
      </w:r>
      <w:r>
        <w:rPr>
          <w:rFonts w:hint="default" w:ascii="Times New Roman" w:hAnsi="Times New Roman" w:cs="Times New Roman"/>
          <w:color w:val="000000" w:themeColor="text1"/>
          <w:szCs w:val="24"/>
          <w14:textFill>
            <w14:solidFill>
              <w14:schemeClr w14:val="tx1"/>
            </w14:solidFill>
          </w14:textFill>
        </w:rPr>
        <w:t>日</w:t>
      </w:r>
    </w:p>
    <w:p>
      <w:pPr>
        <w:pStyle w:val="17"/>
        <w:spacing w:line="360" w:lineRule="auto"/>
        <w:jc w:val="right"/>
        <w:rPr>
          <w:rFonts w:hint="default" w:ascii="Times New Roman" w:hAnsi="Times New Roman" w:cs="Times New Roman"/>
          <w:color w:val="000000" w:themeColor="text1"/>
          <w:szCs w:val="24"/>
          <w14:textFill>
            <w14:solidFill>
              <w14:schemeClr w14:val="tx1"/>
            </w14:solidFill>
          </w14:textFill>
        </w:rPr>
      </w:pPr>
    </w:p>
    <w:p>
      <w:pPr>
        <w:pStyle w:val="17"/>
        <w:spacing w:line="360" w:lineRule="auto"/>
        <w:jc w:val="both"/>
        <w:rPr>
          <w:rFonts w:hint="default" w:ascii="Times New Roman" w:hAnsi="Times New Roman" w:cs="Times New Roman"/>
        </w:rPr>
      </w:pPr>
      <w:r>
        <w:rPr>
          <w:rFonts w:hint="default" w:ascii="Times New Roman" w:hAnsi="Times New Roman" w:cs="Times New Roman"/>
        </w:rPr>
        <w:br w:type="page"/>
      </w:r>
    </w:p>
    <w:p>
      <w:pPr>
        <w:pStyle w:val="17"/>
        <w:spacing w:line="360" w:lineRule="auto"/>
        <w:jc w:val="both"/>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66690" cy="7465060"/>
            <wp:effectExtent l="0" t="0" r="10160" b="2540"/>
            <wp:docPr id="1" name="图片 1" descr="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到表"/>
                    <pic:cNvPicPr>
                      <a:picLocks noChangeAspect="1"/>
                    </pic:cNvPicPr>
                  </pic:nvPicPr>
                  <pic:blipFill>
                    <a:blip r:embed="rId5"/>
                    <a:stretch>
                      <a:fillRect/>
                    </a:stretch>
                  </pic:blipFill>
                  <pic:spPr>
                    <a:xfrm>
                      <a:off x="0" y="0"/>
                      <a:ext cx="5266690" cy="746506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2FF9"/>
    <w:multiLevelType w:val="singleLevel"/>
    <w:tmpl w:val="5AF92FF9"/>
    <w:lvl w:ilvl="0" w:tentative="0">
      <w:start w:val="1"/>
      <w:numFmt w:val="decimal"/>
      <w:suff w:val="nothing"/>
      <w:lvlText w:val="（%1）"/>
      <w:lvlJc w:val="left"/>
    </w:lvl>
  </w:abstractNum>
  <w:abstractNum w:abstractNumId="1">
    <w:nsid w:val="5B0A0D09"/>
    <w:multiLevelType w:val="singleLevel"/>
    <w:tmpl w:val="5B0A0D09"/>
    <w:lvl w:ilvl="0" w:tentative="0">
      <w:start w:val="1"/>
      <w:numFmt w:val="chineseCounting"/>
      <w:suff w:val="nothing"/>
      <w:lvlText w:val="%1、"/>
      <w:lvlJc w:val="left"/>
    </w:lvl>
  </w:abstractNum>
  <w:abstractNum w:abstractNumId="2">
    <w:nsid w:val="6A5176B5"/>
    <w:multiLevelType w:val="singleLevel"/>
    <w:tmpl w:val="6A5176B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517939"/>
    <w:rsid w:val="0005631C"/>
    <w:rsid w:val="00081E66"/>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364C"/>
    <w:rsid w:val="001F6617"/>
    <w:rsid w:val="00221C6C"/>
    <w:rsid w:val="00224CEA"/>
    <w:rsid w:val="002444E7"/>
    <w:rsid w:val="00255A50"/>
    <w:rsid w:val="00280466"/>
    <w:rsid w:val="002809C7"/>
    <w:rsid w:val="00282CAB"/>
    <w:rsid w:val="002832F9"/>
    <w:rsid w:val="002D0CC9"/>
    <w:rsid w:val="002F68D2"/>
    <w:rsid w:val="003004CB"/>
    <w:rsid w:val="00305934"/>
    <w:rsid w:val="00310644"/>
    <w:rsid w:val="003201F4"/>
    <w:rsid w:val="00340717"/>
    <w:rsid w:val="00363489"/>
    <w:rsid w:val="00367468"/>
    <w:rsid w:val="003701B6"/>
    <w:rsid w:val="003B5683"/>
    <w:rsid w:val="003C6CF1"/>
    <w:rsid w:val="003D3055"/>
    <w:rsid w:val="003D6EBF"/>
    <w:rsid w:val="003E23FF"/>
    <w:rsid w:val="003F7111"/>
    <w:rsid w:val="00402FF5"/>
    <w:rsid w:val="004044EE"/>
    <w:rsid w:val="00411483"/>
    <w:rsid w:val="004218E0"/>
    <w:rsid w:val="00440B53"/>
    <w:rsid w:val="00442613"/>
    <w:rsid w:val="00463951"/>
    <w:rsid w:val="00471D68"/>
    <w:rsid w:val="004A5E0F"/>
    <w:rsid w:val="004B65BD"/>
    <w:rsid w:val="004B7484"/>
    <w:rsid w:val="004E1649"/>
    <w:rsid w:val="004E5411"/>
    <w:rsid w:val="004F4A1D"/>
    <w:rsid w:val="0050211F"/>
    <w:rsid w:val="005111C7"/>
    <w:rsid w:val="00537377"/>
    <w:rsid w:val="005423B0"/>
    <w:rsid w:val="005518F5"/>
    <w:rsid w:val="005579D6"/>
    <w:rsid w:val="00572DD1"/>
    <w:rsid w:val="005755CD"/>
    <w:rsid w:val="00583B78"/>
    <w:rsid w:val="00597D8D"/>
    <w:rsid w:val="005E383A"/>
    <w:rsid w:val="006063AD"/>
    <w:rsid w:val="00606BA3"/>
    <w:rsid w:val="00613086"/>
    <w:rsid w:val="00621801"/>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70BB7"/>
    <w:rsid w:val="007A490B"/>
    <w:rsid w:val="007D46BE"/>
    <w:rsid w:val="007E0776"/>
    <w:rsid w:val="007E564B"/>
    <w:rsid w:val="00825D13"/>
    <w:rsid w:val="008271D7"/>
    <w:rsid w:val="00843997"/>
    <w:rsid w:val="00845734"/>
    <w:rsid w:val="00863519"/>
    <w:rsid w:val="008755AB"/>
    <w:rsid w:val="00876450"/>
    <w:rsid w:val="008859AC"/>
    <w:rsid w:val="008A5621"/>
    <w:rsid w:val="008B099B"/>
    <w:rsid w:val="008D3934"/>
    <w:rsid w:val="008E74C8"/>
    <w:rsid w:val="008F3F97"/>
    <w:rsid w:val="00906BCE"/>
    <w:rsid w:val="00911DDA"/>
    <w:rsid w:val="009346A2"/>
    <w:rsid w:val="00953342"/>
    <w:rsid w:val="00967B2D"/>
    <w:rsid w:val="009823C0"/>
    <w:rsid w:val="009B64F9"/>
    <w:rsid w:val="009C6BEE"/>
    <w:rsid w:val="009E6B5A"/>
    <w:rsid w:val="00A217D1"/>
    <w:rsid w:val="00A5569F"/>
    <w:rsid w:val="00A556D0"/>
    <w:rsid w:val="00A55E70"/>
    <w:rsid w:val="00A70C9A"/>
    <w:rsid w:val="00A812E7"/>
    <w:rsid w:val="00A86D16"/>
    <w:rsid w:val="00AB73DA"/>
    <w:rsid w:val="00AC5E59"/>
    <w:rsid w:val="00AE0BD5"/>
    <w:rsid w:val="00AE1C56"/>
    <w:rsid w:val="00AE6B60"/>
    <w:rsid w:val="00AF2313"/>
    <w:rsid w:val="00B50797"/>
    <w:rsid w:val="00B622CA"/>
    <w:rsid w:val="00B66DC8"/>
    <w:rsid w:val="00B77EE1"/>
    <w:rsid w:val="00BB1411"/>
    <w:rsid w:val="00BB626D"/>
    <w:rsid w:val="00BC4EE4"/>
    <w:rsid w:val="00BC7CEA"/>
    <w:rsid w:val="00C154D7"/>
    <w:rsid w:val="00C15ED4"/>
    <w:rsid w:val="00C1753C"/>
    <w:rsid w:val="00C178ED"/>
    <w:rsid w:val="00C37475"/>
    <w:rsid w:val="00C4397B"/>
    <w:rsid w:val="00C4447F"/>
    <w:rsid w:val="00C44AA8"/>
    <w:rsid w:val="00C5691D"/>
    <w:rsid w:val="00C61842"/>
    <w:rsid w:val="00C6789D"/>
    <w:rsid w:val="00C719A0"/>
    <w:rsid w:val="00C8569E"/>
    <w:rsid w:val="00CA1992"/>
    <w:rsid w:val="00CA6D2A"/>
    <w:rsid w:val="00CE0A9E"/>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95F03"/>
    <w:rsid w:val="00DA577E"/>
    <w:rsid w:val="00DA7E1A"/>
    <w:rsid w:val="00DB2343"/>
    <w:rsid w:val="00DC06D2"/>
    <w:rsid w:val="00DD1447"/>
    <w:rsid w:val="00E01CF0"/>
    <w:rsid w:val="00E02E5D"/>
    <w:rsid w:val="00E25B46"/>
    <w:rsid w:val="00E31AE9"/>
    <w:rsid w:val="00E33836"/>
    <w:rsid w:val="00E34AFA"/>
    <w:rsid w:val="00E722B8"/>
    <w:rsid w:val="00E74156"/>
    <w:rsid w:val="00E96541"/>
    <w:rsid w:val="00EA4117"/>
    <w:rsid w:val="00EC6EB0"/>
    <w:rsid w:val="00EE1112"/>
    <w:rsid w:val="00EF0296"/>
    <w:rsid w:val="00F03F9E"/>
    <w:rsid w:val="00F04749"/>
    <w:rsid w:val="00F15F90"/>
    <w:rsid w:val="00F44866"/>
    <w:rsid w:val="00F5618B"/>
    <w:rsid w:val="00F6275C"/>
    <w:rsid w:val="00F715D1"/>
    <w:rsid w:val="00F73C37"/>
    <w:rsid w:val="00F90662"/>
    <w:rsid w:val="00F92DE6"/>
    <w:rsid w:val="00F94ACA"/>
    <w:rsid w:val="00FB1063"/>
    <w:rsid w:val="00FE4F03"/>
    <w:rsid w:val="00FE62B5"/>
    <w:rsid w:val="00FE633D"/>
    <w:rsid w:val="010E221F"/>
    <w:rsid w:val="01607812"/>
    <w:rsid w:val="018E65D1"/>
    <w:rsid w:val="01E425B5"/>
    <w:rsid w:val="01EC5BA8"/>
    <w:rsid w:val="01FE7888"/>
    <w:rsid w:val="01FF26B8"/>
    <w:rsid w:val="023937C6"/>
    <w:rsid w:val="02550D85"/>
    <w:rsid w:val="02556ABB"/>
    <w:rsid w:val="026C7657"/>
    <w:rsid w:val="02A14449"/>
    <w:rsid w:val="02B462A9"/>
    <w:rsid w:val="02BE45C9"/>
    <w:rsid w:val="02C00955"/>
    <w:rsid w:val="02C40FE5"/>
    <w:rsid w:val="02D234C3"/>
    <w:rsid w:val="02DC03C4"/>
    <w:rsid w:val="032C5015"/>
    <w:rsid w:val="036237D8"/>
    <w:rsid w:val="03682719"/>
    <w:rsid w:val="03B22714"/>
    <w:rsid w:val="03C316CD"/>
    <w:rsid w:val="03E83005"/>
    <w:rsid w:val="041D4C81"/>
    <w:rsid w:val="04221640"/>
    <w:rsid w:val="04296BE2"/>
    <w:rsid w:val="044A2A28"/>
    <w:rsid w:val="047C22D8"/>
    <w:rsid w:val="048E2023"/>
    <w:rsid w:val="04A17ACE"/>
    <w:rsid w:val="04A84781"/>
    <w:rsid w:val="04B82146"/>
    <w:rsid w:val="04BB2359"/>
    <w:rsid w:val="05085FF4"/>
    <w:rsid w:val="051527AF"/>
    <w:rsid w:val="056508F8"/>
    <w:rsid w:val="05785894"/>
    <w:rsid w:val="05922B6D"/>
    <w:rsid w:val="059B798D"/>
    <w:rsid w:val="05BA1F82"/>
    <w:rsid w:val="05D91838"/>
    <w:rsid w:val="062711BD"/>
    <w:rsid w:val="064700D3"/>
    <w:rsid w:val="069D255F"/>
    <w:rsid w:val="06B47CC8"/>
    <w:rsid w:val="06D50E2F"/>
    <w:rsid w:val="0713528D"/>
    <w:rsid w:val="079418F9"/>
    <w:rsid w:val="07BA3865"/>
    <w:rsid w:val="084329E5"/>
    <w:rsid w:val="08E6114A"/>
    <w:rsid w:val="09065611"/>
    <w:rsid w:val="09130196"/>
    <w:rsid w:val="092C29DD"/>
    <w:rsid w:val="093D2930"/>
    <w:rsid w:val="094F41DB"/>
    <w:rsid w:val="09686070"/>
    <w:rsid w:val="09BC2CF7"/>
    <w:rsid w:val="09D06FFB"/>
    <w:rsid w:val="0A1914BE"/>
    <w:rsid w:val="0A3849EF"/>
    <w:rsid w:val="0A423AF6"/>
    <w:rsid w:val="0A823524"/>
    <w:rsid w:val="0A97308A"/>
    <w:rsid w:val="0ACD31AF"/>
    <w:rsid w:val="0ADB1677"/>
    <w:rsid w:val="0AED6914"/>
    <w:rsid w:val="0AEF4C65"/>
    <w:rsid w:val="0B034AC0"/>
    <w:rsid w:val="0BED2F35"/>
    <w:rsid w:val="0C0B2750"/>
    <w:rsid w:val="0C385BBC"/>
    <w:rsid w:val="0C4A280B"/>
    <w:rsid w:val="0C4F0835"/>
    <w:rsid w:val="0C800825"/>
    <w:rsid w:val="0CB16C63"/>
    <w:rsid w:val="0CB41C5D"/>
    <w:rsid w:val="0CEF4ABB"/>
    <w:rsid w:val="0CF50E84"/>
    <w:rsid w:val="0D164469"/>
    <w:rsid w:val="0D205F82"/>
    <w:rsid w:val="0D4A42DE"/>
    <w:rsid w:val="0D6461E2"/>
    <w:rsid w:val="0DC11AB5"/>
    <w:rsid w:val="0DEC6C68"/>
    <w:rsid w:val="0DFA6F62"/>
    <w:rsid w:val="0E544600"/>
    <w:rsid w:val="0E8352E4"/>
    <w:rsid w:val="0EC64748"/>
    <w:rsid w:val="0F10134B"/>
    <w:rsid w:val="0F1A3997"/>
    <w:rsid w:val="0F810674"/>
    <w:rsid w:val="0FB321C6"/>
    <w:rsid w:val="0FCC5E82"/>
    <w:rsid w:val="0FF83B03"/>
    <w:rsid w:val="102C6B9D"/>
    <w:rsid w:val="10696C3F"/>
    <w:rsid w:val="10720B3F"/>
    <w:rsid w:val="1072366C"/>
    <w:rsid w:val="107E57C1"/>
    <w:rsid w:val="10804FC3"/>
    <w:rsid w:val="10956554"/>
    <w:rsid w:val="115E0874"/>
    <w:rsid w:val="11626091"/>
    <w:rsid w:val="11643FE5"/>
    <w:rsid w:val="11727A47"/>
    <w:rsid w:val="117458B7"/>
    <w:rsid w:val="11DB5054"/>
    <w:rsid w:val="124F3E8C"/>
    <w:rsid w:val="12506915"/>
    <w:rsid w:val="125F5275"/>
    <w:rsid w:val="12693B77"/>
    <w:rsid w:val="12716181"/>
    <w:rsid w:val="12D31B79"/>
    <w:rsid w:val="12D53B1D"/>
    <w:rsid w:val="12E776F5"/>
    <w:rsid w:val="12FB3511"/>
    <w:rsid w:val="131D3AAF"/>
    <w:rsid w:val="13243147"/>
    <w:rsid w:val="132C1047"/>
    <w:rsid w:val="13421806"/>
    <w:rsid w:val="134B2E77"/>
    <w:rsid w:val="136746C6"/>
    <w:rsid w:val="137456C6"/>
    <w:rsid w:val="13760F41"/>
    <w:rsid w:val="13952938"/>
    <w:rsid w:val="13953C40"/>
    <w:rsid w:val="13A862E1"/>
    <w:rsid w:val="14011878"/>
    <w:rsid w:val="140C41C3"/>
    <w:rsid w:val="142811D9"/>
    <w:rsid w:val="145215A8"/>
    <w:rsid w:val="145D504A"/>
    <w:rsid w:val="14811D2F"/>
    <w:rsid w:val="148F3BDC"/>
    <w:rsid w:val="149F7EE9"/>
    <w:rsid w:val="14DB4283"/>
    <w:rsid w:val="14DE590D"/>
    <w:rsid w:val="14EE3E17"/>
    <w:rsid w:val="14FF060C"/>
    <w:rsid w:val="152449C6"/>
    <w:rsid w:val="154418C1"/>
    <w:rsid w:val="15DF0A5D"/>
    <w:rsid w:val="16361908"/>
    <w:rsid w:val="16472EED"/>
    <w:rsid w:val="164C1E9C"/>
    <w:rsid w:val="165426A4"/>
    <w:rsid w:val="1676010E"/>
    <w:rsid w:val="16872564"/>
    <w:rsid w:val="169661BF"/>
    <w:rsid w:val="16A60491"/>
    <w:rsid w:val="16D35427"/>
    <w:rsid w:val="172363A5"/>
    <w:rsid w:val="172B6B2F"/>
    <w:rsid w:val="17575732"/>
    <w:rsid w:val="175C405F"/>
    <w:rsid w:val="175D368D"/>
    <w:rsid w:val="176F1178"/>
    <w:rsid w:val="17E7545D"/>
    <w:rsid w:val="181651E2"/>
    <w:rsid w:val="18517939"/>
    <w:rsid w:val="187A6B3C"/>
    <w:rsid w:val="188732C6"/>
    <w:rsid w:val="188F2AEF"/>
    <w:rsid w:val="18AF2FFB"/>
    <w:rsid w:val="18DE7CD4"/>
    <w:rsid w:val="19086F4C"/>
    <w:rsid w:val="190B4368"/>
    <w:rsid w:val="191D68B8"/>
    <w:rsid w:val="193A446E"/>
    <w:rsid w:val="19DD1B23"/>
    <w:rsid w:val="1A0E2388"/>
    <w:rsid w:val="1A3F5D9C"/>
    <w:rsid w:val="1A4241FC"/>
    <w:rsid w:val="1A552F1D"/>
    <w:rsid w:val="1A6459C9"/>
    <w:rsid w:val="1A8D7509"/>
    <w:rsid w:val="1AA1621E"/>
    <w:rsid w:val="1AB90331"/>
    <w:rsid w:val="1AC124D4"/>
    <w:rsid w:val="1AC50D8C"/>
    <w:rsid w:val="1AD3776F"/>
    <w:rsid w:val="1ADC0DB9"/>
    <w:rsid w:val="1B0D57B3"/>
    <w:rsid w:val="1B137935"/>
    <w:rsid w:val="1B205926"/>
    <w:rsid w:val="1B851818"/>
    <w:rsid w:val="1B895917"/>
    <w:rsid w:val="1BBC2C07"/>
    <w:rsid w:val="1BF7460C"/>
    <w:rsid w:val="1C052884"/>
    <w:rsid w:val="1C4D2E94"/>
    <w:rsid w:val="1C58312C"/>
    <w:rsid w:val="1CC23185"/>
    <w:rsid w:val="1CC76EF5"/>
    <w:rsid w:val="1CCE2470"/>
    <w:rsid w:val="1CDA7041"/>
    <w:rsid w:val="1CF9381F"/>
    <w:rsid w:val="1D1A0979"/>
    <w:rsid w:val="1D277D8F"/>
    <w:rsid w:val="1D4E0EB2"/>
    <w:rsid w:val="1D74698E"/>
    <w:rsid w:val="1D7F63A4"/>
    <w:rsid w:val="1D8839CB"/>
    <w:rsid w:val="1DEF77C1"/>
    <w:rsid w:val="1E2C0B71"/>
    <w:rsid w:val="1E513F6E"/>
    <w:rsid w:val="1E6744C8"/>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348BC"/>
    <w:rsid w:val="20446C84"/>
    <w:rsid w:val="205F0CE6"/>
    <w:rsid w:val="20692BD9"/>
    <w:rsid w:val="20927D96"/>
    <w:rsid w:val="211C3BDD"/>
    <w:rsid w:val="21205F83"/>
    <w:rsid w:val="2121076A"/>
    <w:rsid w:val="21266E82"/>
    <w:rsid w:val="215F20E0"/>
    <w:rsid w:val="215F5F92"/>
    <w:rsid w:val="217D1C5C"/>
    <w:rsid w:val="217D720E"/>
    <w:rsid w:val="21BD3E71"/>
    <w:rsid w:val="21E048FA"/>
    <w:rsid w:val="222B60B6"/>
    <w:rsid w:val="2237222B"/>
    <w:rsid w:val="22373A69"/>
    <w:rsid w:val="2239758F"/>
    <w:rsid w:val="2243090D"/>
    <w:rsid w:val="23025BA7"/>
    <w:rsid w:val="231059F9"/>
    <w:rsid w:val="232475C4"/>
    <w:rsid w:val="23647E60"/>
    <w:rsid w:val="238D4116"/>
    <w:rsid w:val="23E21B40"/>
    <w:rsid w:val="23FB64E4"/>
    <w:rsid w:val="2417192C"/>
    <w:rsid w:val="241C11B4"/>
    <w:rsid w:val="243462AE"/>
    <w:rsid w:val="24434A11"/>
    <w:rsid w:val="24812205"/>
    <w:rsid w:val="24962181"/>
    <w:rsid w:val="24F709D5"/>
    <w:rsid w:val="25193CD2"/>
    <w:rsid w:val="25341A01"/>
    <w:rsid w:val="25832E5B"/>
    <w:rsid w:val="258678D7"/>
    <w:rsid w:val="25A025D7"/>
    <w:rsid w:val="25A8575E"/>
    <w:rsid w:val="25BF3A39"/>
    <w:rsid w:val="25D23018"/>
    <w:rsid w:val="25D415A7"/>
    <w:rsid w:val="262A32F6"/>
    <w:rsid w:val="262C6563"/>
    <w:rsid w:val="262C7F1D"/>
    <w:rsid w:val="264C69B6"/>
    <w:rsid w:val="266A14AF"/>
    <w:rsid w:val="268F7F2C"/>
    <w:rsid w:val="26910715"/>
    <w:rsid w:val="269C5F16"/>
    <w:rsid w:val="26B4452D"/>
    <w:rsid w:val="26C76B35"/>
    <w:rsid w:val="26C9739C"/>
    <w:rsid w:val="26CF43AF"/>
    <w:rsid w:val="26D56C47"/>
    <w:rsid w:val="26DF6EA9"/>
    <w:rsid w:val="26F515A7"/>
    <w:rsid w:val="26FD4671"/>
    <w:rsid w:val="275155E2"/>
    <w:rsid w:val="27924499"/>
    <w:rsid w:val="27AA2C69"/>
    <w:rsid w:val="27AA6EC9"/>
    <w:rsid w:val="27CA1040"/>
    <w:rsid w:val="27F104C2"/>
    <w:rsid w:val="28450804"/>
    <w:rsid w:val="284A124F"/>
    <w:rsid w:val="28553AE5"/>
    <w:rsid w:val="28CA0234"/>
    <w:rsid w:val="2900682F"/>
    <w:rsid w:val="29020C9E"/>
    <w:rsid w:val="291037E5"/>
    <w:rsid w:val="293A3DC1"/>
    <w:rsid w:val="298807FC"/>
    <w:rsid w:val="29AC730E"/>
    <w:rsid w:val="29DE3388"/>
    <w:rsid w:val="2A17761A"/>
    <w:rsid w:val="2A4A0E84"/>
    <w:rsid w:val="2A68155E"/>
    <w:rsid w:val="2A7915C6"/>
    <w:rsid w:val="2A7D4CF7"/>
    <w:rsid w:val="2AB73828"/>
    <w:rsid w:val="2AE76586"/>
    <w:rsid w:val="2AEF7454"/>
    <w:rsid w:val="2B001E61"/>
    <w:rsid w:val="2B1B3902"/>
    <w:rsid w:val="2B2C20C4"/>
    <w:rsid w:val="2B490100"/>
    <w:rsid w:val="2B4B3A72"/>
    <w:rsid w:val="2B536F97"/>
    <w:rsid w:val="2B5915AE"/>
    <w:rsid w:val="2B637F5E"/>
    <w:rsid w:val="2B6C5CCA"/>
    <w:rsid w:val="2B934272"/>
    <w:rsid w:val="2BFD623F"/>
    <w:rsid w:val="2BFE77E7"/>
    <w:rsid w:val="2C1B16A8"/>
    <w:rsid w:val="2C545E3C"/>
    <w:rsid w:val="2C762AE7"/>
    <w:rsid w:val="2C7F3BFC"/>
    <w:rsid w:val="2C8C561E"/>
    <w:rsid w:val="2C926C8A"/>
    <w:rsid w:val="2CCC633F"/>
    <w:rsid w:val="2CF267A1"/>
    <w:rsid w:val="2D0E698D"/>
    <w:rsid w:val="2D403918"/>
    <w:rsid w:val="2D6113FD"/>
    <w:rsid w:val="2D6A30FB"/>
    <w:rsid w:val="2D8D6916"/>
    <w:rsid w:val="2DD655AF"/>
    <w:rsid w:val="2E237D3D"/>
    <w:rsid w:val="2E4C015C"/>
    <w:rsid w:val="2E5F56FD"/>
    <w:rsid w:val="2E985A31"/>
    <w:rsid w:val="2EC24CB4"/>
    <w:rsid w:val="2EF53C09"/>
    <w:rsid w:val="2F0546DE"/>
    <w:rsid w:val="2F4837F5"/>
    <w:rsid w:val="2F6C10C6"/>
    <w:rsid w:val="2FD212C0"/>
    <w:rsid w:val="308633A0"/>
    <w:rsid w:val="30B73607"/>
    <w:rsid w:val="30D4752D"/>
    <w:rsid w:val="30E0460F"/>
    <w:rsid w:val="31095F42"/>
    <w:rsid w:val="313F54DE"/>
    <w:rsid w:val="31404818"/>
    <w:rsid w:val="314874A8"/>
    <w:rsid w:val="315B070F"/>
    <w:rsid w:val="31637BB0"/>
    <w:rsid w:val="31704D26"/>
    <w:rsid w:val="31967351"/>
    <w:rsid w:val="31EB7499"/>
    <w:rsid w:val="31F066CF"/>
    <w:rsid w:val="32017C91"/>
    <w:rsid w:val="32296E55"/>
    <w:rsid w:val="323223C1"/>
    <w:rsid w:val="32A4772D"/>
    <w:rsid w:val="32B06914"/>
    <w:rsid w:val="32C97516"/>
    <w:rsid w:val="32F200F8"/>
    <w:rsid w:val="33060C7F"/>
    <w:rsid w:val="33507062"/>
    <w:rsid w:val="335953C4"/>
    <w:rsid w:val="33800EE4"/>
    <w:rsid w:val="33806C25"/>
    <w:rsid w:val="339404C7"/>
    <w:rsid w:val="340C36C8"/>
    <w:rsid w:val="34414ED8"/>
    <w:rsid w:val="34481E00"/>
    <w:rsid w:val="345421EA"/>
    <w:rsid w:val="34990D9A"/>
    <w:rsid w:val="349D1184"/>
    <w:rsid w:val="34CB6E48"/>
    <w:rsid w:val="3517798B"/>
    <w:rsid w:val="355815E7"/>
    <w:rsid w:val="3568283E"/>
    <w:rsid w:val="359D53E4"/>
    <w:rsid w:val="35EB17C0"/>
    <w:rsid w:val="361F7F03"/>
    <w:rsid w:val="363520A2"/>
    <w:rsid w:val="36817545"/>
    <w:rsid w:val="36981D34"/>
    <w:rsid w:val="36C74A1F"/>
    <w:rsid w:val="36CB313C"/>
    <w:rsid w:val="36CE385D"/>
    <w:rsid w:val="37383949"/>
    <w:rsid w:val="377E2E81"/>
    <w:rsid w:val="379F3DEA"/>
    <w:rsid w:val="37A21BA3"/>
    <w:rsid w:val="37B26E48"/>
    <w:rsid w:val="37B62D39"/>
    <w:rsid w:val="37C47473"/>
    <w:rsid w:val="37D15AB8"/>
    <w:rsid w:val="37DC4956"/>
    <w:rsid w:val="37E8086B"/>
    <w:rsid w:val="382E0C61"/>
    <w:rsid w:val="38554054"/>
    <w:rsid w:val="387650E1"/>
    <w:rsid w:val="38A67C9C"/>
    <w:rsid w:val="38AB4250"/>
    <w:rsid w:val="391B54AC"/>
    <w:rsid w:val="39323E8A"/>
    <w:rsid w:val="39B77576"/>
    <w:rsid w:val="39C5543F"/>
    <w:rsid w:val="39DA223F"/>
    <w:rsid w:val="3A1948CE"/>
    <w:rsid w:val="3A4F185B"/>
    <w:rsid w:val="3A591187"/>
    <w:rsid w:val="3A6D7EEC"/>
    <w:rsid w:val="3AA12883"/>
    <w:rsid w:val="3AB82011"/>
    <w:rsid w:val="3AD63B80"/>
    <w:rsid w:val="3AD7352D"/>
    <w:rsid w:val="3B1C645B"/>
    <w:rsid w:val="3B3D419F"/>
    <w:rsid w:val="3B404471"/>
    <w:rsid w:val="3BB14A11"/>
    <w:rsid w:val="3BD120D3"/>
    <w:rsid w:val="3BDA6CAB"/>
    <w:rsid w:val="3C0235DE"/>
    <w:rsid w:val="3C251AC2"/>
    <w:rsid w:val="3C4228C2"/>
    <w:rsid w:val="3C9A0846"/>
    <w:rsid w:val="3C9A1EEA"/>
    <w:rsid w:val="3CA7597D"/>
    <w:rsid w:val="3CE62B9E"/>
    <w:rsid w:val="3D317F67"/>
    <w:rsid w:val="3D500ABA"/>
    <w:rsid w:val="3D516AAF"/>
    <w:rsid w:val="3D6C7623"/>
    <w:rsid w:val="3D904137"/>
    <w:rsid w:val="3D9925C0"/>
    <w:rsid w:val="3DAF6CFC"/>
    <w:rsid w:val="3DD37A46"/>
    <w:rsid w:val="3DD67174"/>
    <w:rsid w:val="3DE34BE1"/>
    <w:rsid w:val="3E21070A"/>
    <w:rsid w:val="3E3C549C"/>
    <w:rsid w:val="3E503FD6"/>
    <w:rsid w:val="3E6E4213"/>
    <w:rsid w:val="3E837165"/>
    <w:rsid w:val="3E9C5EB1"/>
    <w:rsid w:val="3EB4358F"/>
    <w:rsid w:val="3EB53F6A"/>
    <w:rsid w:val="3EC04756"/>
    <w:rsid w:val="3ED13D09"/>
    <w:rsid w:val="3ED62796"/>
    <w:rsid w:val="3EE323FB"/>
    <w:rsid w:val="3EE61CCB"/>
    <w:rsid w:val="3F3223D2"/>
    <w:rsid w:val="3F3C40C0"/>
    <w:rsid w:val="3F614B01"/>
    <w:rsid w:val="3F994CEB"/>
    <w:rsid w:val="3FE260CC"/>
    <w:rsid w:val="3FF22BB8"/>
    <w:rsid w:val="403E5AFD"/>
    <w:rsid w:val="40505E04"/>
    <w:rsid w:val="40C31D9A"/>
    <w:rsid w:val="40D66F68"/>
    <w:rsid w:val="40EA2438"/>
    <w:rsid w:val="41302F41"/>
    <w:rsid w:val="41443539"/>
    <w:rsid w:val="415C0D1D"/>
    <w:rsid w:val="418F308E"/>
    <w:rsid w:val="41AD03DE"/>
    <w:rsid w:val="41B004E9"/>
    <w:rsid w:val="41B14727"/>
    <w:rsid w:val="41E42651"/>
    <w:rsid w:val="424339AF"/>
    <w:rsid w:val="425038E8"/>
    <w:rsid w:val="425729C9"/>
    <w:rsid w:val="42BE2966"/>
    <w:rsid w:val="42D32002"/>
    <w:rsid w:val="430D4555"/>
    <w:rsid w:val="43536DF9"/>
    <w:rsid w:val="43B92D31"/>
    <w:rsid w:val="43D23E69"/>
    <w:rsid w:val="43D43332"/>
    <w:rsid w:val="43E26D85"/>
    <w:rsid w:val="444D7DB5"/>
    <w:rsid w:val="447631A4"/>
    <w:rsid w:val="448B32D2"/>
    <w:rsid w:val="44A41DAB"/>
    <w:rsid w:val="44B51E61"/>
    <w:rsid w:val="44D707C9"/>
    <w:rsid w:val="44F44DE2"/>
    <w:rsid w:val="450F7228"/>
    <w:rsid w:val="4516791A"/>
    <w:rsid w:val="452C3185"/>
    <w:rsid w:val="45386555"/>
    <w:rsid w:val="453B7AD2"/>
    <w:rsid w:val="4582735F"/>
    <w:rsid w:val="45B169EC"/>
    <w:rsid w:val="45D339F1"/>
    <w:rsid w:val="45EA0C88"/>
    <w:rsid w:val="46073785"/>
    <w:rsid w:val="461D7B0B"/>
    <w:rsid w:val="464B1310"/>
    <w:rsid w:val="46574F82"/>
    <w:rsid w:val="465B72C4"/>
    <w:rsid w:val="469738E4"/>
    <w:rsid w:val="46A90E54"/>
    <w:rsid w:val="46B860C9"/>
    <w:rsid w:val="471D18EB"/>
    <w:rsid w:val="47207961"/>
    <w:rsid w:val="47385217"/>
    <w:rsid w:val="47593601"/>
    <w:rsid w:val="47890C12"/>
    <w:rsid w:val="47B06DB5"/>
    <w:rsid w:val="481352C3"/>
    <w:rsid w:val="484573E5"/>
    <w:rsid w:val="48600A56"/>
    <w:rsid w:val="48756C68"/>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B10617A"/>
    <w:rsid w:val="4B16624B"/>
    <w:rsid w:val="4B5C05CA"/>
    <w:rsid w:val="4B5C3A94"/>
    <w:rsid w:val="4B6C6DB9"/>
    <w:rsid w:val="4B775D18"/>
    <w:rsid w:val="4BB2397A"/>
    <w:rsid w:val="4BCB57A1"/>
    <w:rsid w:val="4C2B0C6E"/>
    <w:rsid w:val="4C540CD3"/>
    <w:rsid w:val="4C6A387F"/>
    <w:rsid w:val="4C7146EC"/>
    <w:rsid w:val="4C7306DC"/>
    <w:rsid w:val="4C744FB5"/>
    <w:rsid w:val="4C8557AA"/>
    <w:rsid w:val="4CF60E91"/>
    <w:rsid w:val="4CFA4E6F"/>
    <w:rsid w:val="4D097949"/>
    <w:rsid w:val="4D771756"/>
    <w:rsid w:val="4D8D14D7"/>
    <w:rsid w:val="4DC704D3"/>
    <w:rsid w:val="4DC74100"/>
    <w:rsid w:val="4DD74E64"/>
    <w:rsid w:val="4DF2468E"/>
    <w:rsid w:val="4DF27172"/>
    <w:rsid w:val="4E525C77"/>
    <w:rsid w:val="4E865594"/>
    <w:rsid w:val="4EA86F2B"/>
    <w:rsid w:val="4EA87E32"/>
    <w:rsid w:val="4EAF0AAA"/>
    <w:rsid w:val="4EE15472"/>
    <w:rsid w:val="4EF25516"/>
    <w:rsid w:val="4F1D1525"/>
    <w:rsid w:val="4F341C7C"/>
    <w:rsid w:val="4F425CF0"/>
    <w:rsid w:val="4F453C82"/>
    <w:rsid w:val="4F4663DB"/>
    <w:rsid w:val="4F7A4605"/>
    <w:rsid w:val="4F9C3877"/>
    <w:rsid w:val="4FB9468F"/>
    <w:rsid w:val="500519DF"/>
    <w:rsid w:val="501B4C5C"/>
    <w:rsid w:val="50444A84"/>
    <w:rsid w:val="50864FFB"/>
    <w:rsid w:val="508F78C7"/>
    <w:rsid w:val="50997562"/>
    <w:rsid w:val="50C60AE4"/>
    <w:rsid w:val="5108093C"/>
    <w:rsid w:val="51322824"/>
    <w:rsid w:val="51422A26"/>
    <w:rsid w:val="515F4880"/>
    <w:rsid w:val="51871806"/>
    <w:rsid w:val="51A355E5"/>
    <w:rsid w:val="51E94FAC"/>
    <w:rsid w:val="51EF7155"/>
    <w:rsid w:val="51F32486"/>
    <w:rsid w:val="52261902"/>
    <w:rsid w:val="52560A08"/>
    <w:rsid w:val="52651D2F"/>
    <w:rsid w:val="52BB3099"/>
    <w:rsid w:val="52F26972"/>
    <w:rsid w:val="534829F5"/>
    <w:rsid w:val="534B4BC1"/>
    <w:rsid w:val="537B7617"/>
    <w:rsid w:val="53AF63B5"/>
    <w:rsid w:val="53D550A4"/>
    <w:rsid w:val="54160863"/>
    <w:rsid w:val="54241CA7"/>
    <w:rsid w:val="546D7DEF"/>
    <w:rsid w:val="547C18FD"/>
    <w:rsid w:val="54863F53"/>
    <w:rsid w:val="54B441E5"/>
    <w:rsid w:val="54BD3095"/>
    <w:rsid w:val="54CC15C6"/>
    <w:rsid w:val="54E6015C"/>
    <w:rsid w:val="54E7009D"/>
    <w:rsid w:val="558A5EAF"/>
    <w:rsid w:val="55C741DF"/>
    <w:rsid w:val="55FD6954"/>
    <w:rsid w:val="56173F81"/>
    <w:rsid w:val="56214BAB"/>
    <w:rsid w:val="56455B8D"/>
    <w:rsid w:val="568D3ED7"/>
    <w:rsid w:val="56A954E8"/>
    <w:rsid w:val="56CA4204"/>
    <w:rsid w:val="56EB1986"/>
    <w:rsid w:val="56EF088D"/>
    <w:rsid w:val="57175EFE"/>
    <w:rsid w:val="571E1891"/>
    <w:rsid w:val="574B1B84"/>
    <w:rsid w:val="575F3CFE"/>
    <w:rsid w:val="57627784"/>
    <w:rsid w:val="578102F5"/>
    <w:rsid w:val="57953328"/>
    <w:rsid w:val="579A1C42"/>
    <w:rsid w:val="57A50649"/>
    <w:rsid w:val="57AC1C04"/>
    <w:rsid w:val="57C40F0C"/>
    <w:rsid w:val="57D30AA9"/>
    <w:rsid w:val="57F660AB"/>
    <w:rsid w:val="58163AA1"/>
    <w:rsid w:val="5841308F"/>
    <w:rsid w:val="58773A4D"/>
    <w:rsid w:val="58EC17A2"/>
    <w:rsid w:val="593C22FD"/>
    <w:rsid w:val="594C2778"/>
    <w:rsid w:val="59545CA1"/>
    <w:rsid w:val="59B625BB"/>
    <w:rsid w:val="5A767952"/>
    <w:rsid w:val="5A8740A4"/>
    <w:rsid w:val="5ABA0021"/>
    <w:rsid w:val="5AE62927"/>
    <w:rsid w:val="5B0C66C9"/>
    <w:rsid w:val="5B184AA5"/>
    <w:rsid w:val="5B3B21C2"/>
    <w:rsid w:val="5B5F134A"/>
    <w:rsid w:val="5B7C371C"/>
    <w:rsid w:val="5BA22CAD"/>
    <w:rsid w:val="5BA736BA"/>
    <w:rsid w:val="5BE04177"/>
    <w:rsid w:val="5BF414B4"/>
    <w:rsid w:val="5C5D30B4"/>
    <w:rsid w:val="5C712D4E"/>
    <w:rsid w:val="5C746DA5"/>
    <w:rsid w:val="5C935F92"/>
    <w:rsid w:val="5CC5248C"/>
    <w:rsid w:val="5CE57357"/>
    <w:rsid w:val="5CEA4880"/>
    <w:rsid w:val="5D0F28FE"/>
    <w:rsid w:val="5D160A09"/>
    <w:rsid w:val="5D302801"/>
    <w:rsid w:val="5D3B17AB"/>
    <w:rsid w:val="5D8C5D03"/>
    <w:rsid w:val="5D8F7B77"/>
    <w:rsid w:val="5D931C53"/>
    <w:rsid w:val="5DB56C80"/>
    <w:rsid w:val="5DED4502"/>
    <w:rsid w:val="5E702013"/>
    <w:rsid w:val="5E7F275A"/>
    <w:rsid w:val="5E843F01"/>
    <w:rsid w:val="5E9357F9"/>
    <w:rsid w:val="5EC242F6"/>
    <w:rsid w:val="5EE472B6"/>
    <w:rsid w:val="5EE67FCE"/>
    <w:rsid w:val="5F0F23FD"/>
    <w:rsid w:val="5F621F98"/>
    <w:rsid w:val="60002CF9"/>
    <w:rsid w:val="603C69EE"/>
    <w:rsid w:val="609D642B"/>
    <w:rsid w:val="60E84CD9"/>
    <w:rsid w:val="61123705"/>
    <w:rsid w:val="61405695"/>
    <w:rsid w:val="615B5E6A"/>
    <w:rsid w:val="61660219"/>
    <w:rsid w:val="616D4BA5"/>
    <w:rsid w:val="61B91023"/>
    <w:rsid w:val="61BF7EB8"/>
    <w:rsid w:val="61E710D1"/>
    <w:rsid w:val="61FF7C0A"/>
    <w:rsid w:val="62007C89"/>
    <w:rsid w:val="622B655E"/>
    <w:rsid w:val="62316D63"/>
    <w:rsid w:val="626E2D6B"/>
    <w:rsid w:val="6286061A"/>
    <w:rsid w:val="628A1423"/>
    <w:rsid w:val="62955CF6"/>
    <w:rsid w:val="62A43CE6"/>
    <w:rsid w:val="62C5598A"/>
    <w:rsid w:val="62FF3532"/>
    <w:rsid w:val="631B493A"/>
    <w:rsid w:val="63375EF9"/>
    <w:rsid w:val="633F41B5"/>
    <w:rsid w:val="63500809"/>
    <w:rsid w:val="63774F3C"/>
    <w:rsid w:val="63C027DB"/>
    <w:rsid w:val="63D11DFF"/>
    <w:rsid w:val="63DA5275"/>
    <w:rsid w:val="64134A1C"/>
    <w:rsid w:val="641A47EA"/>
    <w:rsid w:val="643751C1"/>
    <w:rsid w:val="6444570C"/>
    <w:rsid w:val="64676AC6"/>
    <w:rsid w:val="64923D74"/>
    <w:rsid w:val="64C71455"/>
    <w:rsid w:val="653328CF"/>
    <w:rsid w:val="65500570"/>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9B5589"/>
    <w:rsid w:val="67B80D64"/>
    <w:rsid w:val="67DB3E94"/>
    <w:rsid w:val="68185814"/>
    <w:rsid w:val="683750AF"/>
    <w:rsid w:val="68630A6E"/>
    <w:rsid w:val="687620E8"/>
    <w:rsid w:val="68815614"/>
    <w:rsid w:val="6886699D"/>
    <w:rsid w:val="6894291E"/>
    <w:rsid w:val="68A80221"/>
    <w:rsid w:val="68C6044B"/>
    <w:rsid w:val="68C637A2"/>
    <w:rsid w:val="68E825D0"/>
    <w:rsid w:val="68ED5315"/>
    <w:rsid w:val="68F40A0F"/>
    <w:rsid w:val="68F45D2A"/>
    <w:rsid w:val="68FF359A"/>
    <w:rsid w:val="69033F9F"/>
    <w:rsid w:val="6935391B"/>
    <w:rsid w:val="69663264"/>
    <w:rsid w:val="6969365C"/>
    <w:rsid w:val="697C69EA"/>
    <w:rsid w:val="69A31ADA"/>
    <w:rsid w:val="69C31AFF"/>
    <w:rsid w:val="69CC2EAC"/>
    <w:rsid w:val="69D67B50"/>
    <w:rsid w:val="69DD2A3B"/>
    <w:rsid w:val="6A6D4F01"/>
    <w:rsid w:val="6A820212"/>
    <w:rsid w:val="6A827871"/>
    <w:rsid w:val="6ACC4ADC"/>
    <w:rsid w:val="6B2320B2"/>
    <w:rsid w:val="6B245BA6"/>
    <w:rsid w:val="6B515994"/>
    <w:rsid w:val="6B64355C"/>
    <w:rsid w:val="6B976297"/>
    <w:rsid w:val="6C027469"/>
    <w:rsid w:val="6C0C20F6"/>
    <w:rsid w:val="6C1E22EB"/>
    <w:rsid w:val="6C2948A7"/>
    <w:rsid w:val="6C2E56D7"/>
    <w:rsid w:val="6C30522A"/>
    <w:rsid w:val="6C806A79"/>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6204D7"/>
    <w:rsid w:val="6FA75F06"/>
    <w:rsid w:val="6FE6779C"/>
    <w:rsid w:val="6FE8694A"/>
    <w:rsid w:val="6FFB5621"/>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2017CAE"/>
    <w:rsid w:val="72292A6D"/>
    <w:rsid w:val="723E474A"/>
    <w:rsid w:val="725F256E"/>
    <w:rsid w:val="726D0447"/>
    <w:rsid w:val="72700E25"/>
    <w:rsid w:val="72702A6A"/>
    <w:rsid w:val="7270728B"/>
    <w:rsid w:val="729D41BF"/>
    <w:rsid w:val="72C44E9F"/>
    <w:rsid w:val="72CA7825"/>
    <w:rsid w:val="72ED733B"/>
    <w:rsid w:val="73054036"/>
    <w:rsid w:val="730B2511"/>
    <w:rsid w:val="73390EAC"/>
    <w:rsid w:val="735133ED"/>
    <w:rsid w:val="73B10B9F"/>
    <w:rsid w:val="73BA3EE3"/>
    <w:rsid w:val="73CB300A"/>
    <w:rsid w:val="73E46883"/>
    <w:rsid w:val="73E663BF"/>
    <w:rsid w:val="74103C26"/>
    <w:rsid w:val="741F4992"/>
    <w:rsid w:val="742724A2"/>
    <w:rsid w:val="74395EC1"/>
    <w:rsid w:val="74483D4E"/>
    <w:rsid w:val="748818F2"/>
    <w:rsid w:val="74B02175"/>
    <w:rsid w:val="74CA14A3"/>
    <w:rsid w:val="74D71D0F"/>
    <w:rsid w:val="74DB1D75"/>
    <w:rsid w:val="74F26A25"/>
    <w:rsid w:val="74F95792"/>
    <w:rsid w:val="75167B14"/>
    <w:rsid w:val="75286D14"/>
    <w:rsid w:val="75420A8C"/>
    <w:rsid w:val="755A0026"/>
    <w:rsid w:val="755F77C3"/>
    <w:rsid w:val="75807B0B"/>
    <w:rsid w:val="758E31F5"/>
    <w:rsid w:val="75C06246"/>
    <w:rsid w:val="762B77AA"/>
    <w:rsid w:val="763040B1"/>
    <w:rsid w:val="763E5B7F"/>
    <w:rsid w:val="76535DCD"/>
    <w:rsid w:val="76555FAA"/>
    <w:rsid w:val="7661243A"/>
    <w:rsid w:val="76BB1128"/>
    <w:rsid w:val="76FC1DEB"/>
    <w:rsid w:val="773C1743"/>
    <w:rsid w:val="775802F6"/>
    <w:rsid w:val="77687588"/>
    <w:rsid w:val="776B7C47"/>
    <w:rsid w:val="77A34B40"/>
    <w:rsid w:val="77AF0553"/>
    <w:rsid w:val="78342434"/>
    <w:rsid w:val="784A6524"/>
    <w:rsid w:val="787E5195"/>
    <w:rsid w:val="78A94B11"/>
    <w:rsid w:val="78ED261B"/>
    <w:rsid w:val="78FE7853"/>
    <w:rsid w:val="79162BF4"/>
    <w:rsid w:val="79500E93"/>
    <w:rsid w:val="796C6C5E"/>
    <w:rsid w:val="797C2BB6"/>
    <w:rsid w:val="798C6905"/>
    <w:rsid w:val="79D41F54"/>
    <w:rsid w:val="79E90E1D"/>
    <w:rsid w:val="79EB5CAD"/>
    <w:rsid w:val="79F90DE8"/>
    <w:rsid w:val="7A0D0A56"/>
    <w:rsid w:val="7A5028F6"/>
    <w:rsid w:val="7A5470FE"/>
    <w:rsid w:val="7AE93C97"/>
    <w:rsid w:val="7B0D7620"/>
    <w:rsid w:val="7B1B4ABE"/>
    <w:rsid w:val="7B453B09"/>
    <w:rsid w:val="7B6D222E"/>
    <w:rsid w:val="7B754B0C"/>
    <w:rsid w:val="7BB17B0E"/>
    <w:rsid w:val="7BC44865"/>
    <w:rsid w:val="7C111164"/>
    <w:rsid w:val="7CBE0105"/>
    <w:rsid w:val="7D0713E7"/>
    <w:rsid w:val="7D122534"/>
    <w:rsid w:val="7D1967CB"/>
    <w:rsid w:val="7D476EBD"/>
    <w:rsid w:val="7D940EE0"/>
    <w:rsid w:val="7DCB1507"/>
    <w:rsid w:val="7DDA5475"/>
    <w:rsid w:val="7DE268C6"/>
    <w:rsid w:val="7E136210"/>
    <w:rsid w:val="7E333EAB"/>
    <w:rsid w:val="7E4A702F"/>
    <w:rsid w:val="7EA31F03"/>
    <w:rsid w:val="7F193FE4"/>
    <w:rsid w:val="7F1C3636"/>
    <w:rsid w:val="7F1C6B3F"/>
    <w:rsid w:val="7F31229D"/>
    <w:rsid w:val="7F3E2C97"/>
    <w:rsid w:val="7F570A73"/>
    <w:rsid w:val="7F5B093F"/>
    <w:rsid w:val="7F89543C"/>
    <w:rsid w:val="7FAB1979"/>
    <w:rsid w:val="7FAF5B9F"/>
    <w:rsid w:val="7FB64F98"/>
    <w:rsid w:val="7FE809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locked/>
    <w:uiPriority w:val="0"/>
    <w:pPr>
      <w:keepNext/>
      <w:outlineLvl w:val="2"/>
    </w:pPr>
    <w:rPr>
      <w:rFonts w:ascii="Times New Roman" w:hAnsi="Times New Roman"/>
      <w:b/>
      <w:sz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subject"/>
    <w:basedOn w:val="5"/>
    <w:next w:val="5"/>
    <w:link w:val="19"/>
    <w:semiHidden/>
    <w:qFormat/>
    <w:uiPriority w:val="99"/>
    <w:rPr>
      <w:b/>
      <w:bCs/>
    </w:rPr>
  </w:style>
  <w:style w:type="paragraph" w:styleId="5">
    <w:name w:val="annotation text"/>
    <w:basedOn w:val="1"/>
    <w:link w:val="18"/>
    <w:semiHidden/>
    <w:qFormat/>
    <w:uiPriority w:val="99"/>
    <w:pPr>
      <w:jc w:val="left"/>
    </w:pPr>
  </w:style>
  <w:style w:type="paragraph" w:styleId="6">
    <w:name w:val="Body Text Indent"/>
    <w:basedOn w:val="1"/>
    <w:link w:val="20"/>
    <w:qFormat/>
    <w:uiPriority w:val="99"/>
    <w:pPr>
      <w:adjustRightInd w:val="0"/>
      <w:snapToGrid w:val="0"/>
      <w:spacing w:line="540" w:lineRule="atLeast"/>
      <w:ind w:firstLine="560" w:firstLineChars="200"/>
    </w:pPr>
    <w:rPr>
      <w:sz w:val="28"/>
    </w:rPr>
  </w:style>
  <w:style w:type="paragraph" w:styleId="7">
    <w:name w:val="Date"/>
    <w:basedOn w:val="1"/>
    <w:next w:val="1"/>
    <w:link w:val="28"/>
    <w:unhideWhenUsed/>
    <w:qFormat/>
    <w:uiPriority w:val="99"/>
    <w:pPr>
      <w:ind w:left="100" w:leftChars="250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Body Text First Indent 2"/>
    <w:basedOn w:val="6"/>
    <w:next w:val="1"/>
    <w:unhideWhenUsed/>
    <w:qFormat/>
    <w:uiPriority w:val="0"/>
    <w:pPr>
      <w:spacing w:after="120" w:line="240" w:lineRule="auto"/>
      <w:ind w:left="420" w:leftChars="200" w:firstLine="420"/>
    </w:pPr>
    <w:rPr>
      <w:rFonts w:eastAsia="华文中宋" w:cs="Times New Roman"/>
      <w:sz w:val="21"/>
      <w:szCs w:val="21"/>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annotation reference"/>
    <w:basedOn w:val="13"/>
    <w:semiHidden/>
    <w:qFormat/>
    <w:uiPriority w:val="99"/>
    <w:rPr>
      <w:rFonts w:cs="Times New Roman"/>
      <w:sz w:val="21"/>
      <w:szCs w:val="21"/>
    </w:rPr>
  </w:style>
  <w:style w:type="table" w:styleId="16">
    <w:name w:val="Table Grid"/>
    <w:basedOn w:val="1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character" w:customStyle="1" w:styleId="18">
    <w:name w:val="批注文字 Char"/>
    <w:basedOn w:val="13"/>
    <w:link w:val="5"/>
    <w:semiHidden/>
    <w:qFormat/>
    <w:locked/>
    <w:uiPriority w:val="99"/>
    <w:rPr>
      <w:rFonts w:cs="黑体"/>
      <w:sz w:val="24"/>
      <w:szCs w:val="24"/>
    </w:rPr>
  </w:style>
  <w:style w:type="character" w:customStyle="1" w:styleId="19">
    <w:name w:val="批注主题 Char"/>
    <w:basedOn w:val="18"/>
    <w:link w:val="4"/>
    <w:semiHidden/>
    <w:qFormat/>
    <w:locked/>
    <w:uiPriority w:val="99"/>
    <w:rPr>
      <w:rFonts w:cs="黑体"/>
      <w:b/>
      <w:bCs/>
      <w:sz w:val="24"/>
      <w:szCs w:val="24"/>
    </w:rPr>
  </w:style>
  <w:style w:type="character" w:customStyle="1" w:styleId="20">
    <w:name w:val="正文文本缩进 Char"/>
    <w:basedOn w:val="13"/>
    <w:link w:val="6"/>
    <w:semiHidden/>
    <w:qFormat/>
    <w:locked/>
    <w:uiPriority w:val="99"/>
    <w:rPr>
      <w:rFonts w:cs="黑体"/>
      <w:sz w:val="24"/>
      <w:szCs w:val="24"/>
    </w:rPr>
  </w:style>
  <w:style w:type="character" w:customStyle="1" w:styleId="21">
    <w:name w:val="批注框文本 Char"/>
    <w:basedOn w:val="13"/>
    <w:link w:val="8"/>
    <w:semiHidden/>
    <w:qFormat/>
    <w:locked/>
    <w:uiPriority w:val="99"/>
    <w:rPr>
      <w:rFonts w:cs="黑体"/>
      <w:sz w:val="2"/>
    </w:rPr>
  </w:style>
  <w:style w:type="character" w:customStyle="1" w:styleId="22">
    <w:name w:val="页脚 Char"/>
    <w:basedOn w:val="13"/>
    <w:link w:val="9"/>
    <w:semiHidden/>
    <w:qFormat/>
    <w:locked/>
    <w:uiPriority w:val="99"/>
    <w:rPr>
      <w:rFonts w:cs="黑体"/>
      <w:sz w:val="18"/>
      <w:szCs w:val="18"/>
    </w:rPr>
  </w:style>
  <w:style w:type="paragraph" w:customStyle="1" w:styleId="23">
    <w:name w:val="Table Paragraph"/>
    <w:basedOn w:val="1"/>
    <w:qFormat/>
    <w:uiPriority w:val="99"/>
    <w:rPr>
      <w:sz w:val="24"/>
    </w:rPr>
  </w:style>
  <w:style w:type="character" w:customStyle="1" w:styleId="24">
    <w:name w:val="正文修改 Char"/>
    <w:basedOn w:val="13"/>
    <w:link w:val="25"/>
    <w:qFormat/>
    <w:locked/>
    <w:uiPriority w:val="99"/>
    <w:rPr>
      <w:rFonts w:ascii="宋体" w:hAnsi="宋体" w:eastAsia="宋体" w:cs="Times New Roman"/>
      <w:sz w:val="24"/>
      <w:szCs w:val="24"/>
      <w:lang w:val="en-US" w:eastAsia="zh-CN" w:bidi="ar-SA"/>
    </w:rPr>
  </w:style>
  <w:style w:type="paragraph" w:customStyle="1" w:styleId="25">
    <w:name w:val="正文修改"/>
    <w:basedOn w:val="1"/>
    <w:link w:val="24"/>
    <w:qFormat/>
    <w:uiPriority w:val="99"/>
    <w:pPr>
      <w:spacing w:line="360" w:lineRule="auto"/>
      <w:ind w:firstLine="480" w:firstLineChars="200"/>
    </w:pPr>
    <w:rPr>
      <w:rFonts w:ascii="宋体" w:hAnsi="宋体" w:cs="Times New Roman"/>
      <w:kern w:val="0"/>
      <w:sz w:val="24"/>
    </w:rPr>
  </w:style>
  <w:style w:type="paragraph" w:customStyle="1" w:styleId="26">
    <w:name w:val="普通(网站)1"/>
    <w:basedOn w:val="1"/>
    <w:qFormat/>
    <w:uiPriority w:val="0"/>
    <w:pPr>
      <w:spacing w:beforeAutospacing="1" w:afterAutospacing="1"/>
    </w:pPr>
    <w:rPr>
      <w:rFonts w:ascii="宋体" w:hAnsi="宋体" w:cs="宋体"/>
      <w:sz w:val="24"/>
    </w:rPr>
  </w:style>
  <w:style w:type="paragraph" w:customStyle="1" w:styleId="27">
    <w:name w:val="正文样式"/>
    <w:basedOn w:val="1"/>
    <w:qFormat/>
    <w:uiPriority w:val="0"/>
    <w:pPr>
      <w:spacing w:line="360" w:lineRule="auto"/>
      <w:ind w:firstLine="420" w:firstLineChars="200"/>
    </w:pPr>
    <w:rPr>
      <w:rFonts w:ascii="Times New Roman" w:cs="宋体"/>
      <w:sz w:val="24"/>
      <w:szCs w:val="20"/>
    </w:rPr>
  </w:style>
  <w:style w:type="character" w:customStyle="1" w:styleId="28">
    <w:name w:val="日期 Char"/>
    <w:basedOn w:val="13"/>
    <w:link w:val="7"/>
    <w:semiHidden/>
    <w:qFormat/>
    <w:uiPriority w:val="99"/>
    <w:rPr>
      <w:rFonts w:ascii="Calibri" w:hAnsi="Calibri" w:eastAsia="宋体" w:cs="黑体"/>
      <w:kern w:val="2"/>
      <w:sz w:val="21"/>
      <w:szCs w:val="24"/>
    </w:rPr>
  </w:style>
  <w:style w:type="paragraph" w:customStyle="1" w:styleId="29">
    <w:name w:val="普通(网站)2"/>
    <w:basedOn w:val="1"/>
    <w:qFormat/>
    <w:uiPriority w:val="0"/>
    <w:pPr>
      <w:spacing w:before="100" w:beforeAutospacing="1" w:after="100" w:afterAutospacing="1"/>
    </w:pPr>
    <w:rPr>
      <w:rFonts w:ascii="宋体" w:hAnsi="宋体" w:cs="宋体"/>
      <w:sz w:val="24"/>
    </w:rPr>
  </w:style>
  <w:style w:type="paragraph" w:customStyle="1" w:styleId="30">
    <w:name w:val="表格"/>
    <w:basedOn w:val="1"/>
    <w:qFormat/>
    <w:uiPriority w:val="0"/>
    <w:pPr>
      <w:spacing w:line="300" w:lineRule="auto"/>
      <w:jc w:val="center"/>
    </w:pPr>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BF119-2750-4FA8-B9D6-23C2A80587A0}">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5</Pages>
  <Words>626</Words>
  <Characters>3572</Characters>
  <Lines>29</Lines>
  <Paragraphs>8</Paragraphs>
  <TotalTime>1</TotalTime>
  <ScaleCrop>false</ScaleCrop>
  <LinksUpToDate>false</LinksUpToDate>
  <CharactersWithSpaces>4190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2019-07-06T06:12:00Z</dcterms:created>
  <dc:creator>aa</dc:creator>
  <cp:lastModifiedBy>“Amour</cp:lastModifiedBy>
  <cp:lastPrinted>2019-07-10T08:23:00Z</cp:lastPrinted>
  <dcterms:modified xsi:type="dcterms:W3CDTF">2020-06-28T09:27:13Z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