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eastAsiaTheme="majorEastAsia"/>
          <w:b/>
          <w:color w:val="000000"/>
          <w:sz w:val="52"/>
          <w:szCs w:val="52"/>
        </w:rPr>
      </w:pPr>
    </w:p>
    <w:p>
      <w:pPr>
        <w:rPr>
          <w:rFonts w:ascii="Times New Roman" w:hAnsi="Times New Roman" w:cs="Times New Roman"/>
          <w:b/>
          <w:bCs/>
          <w:sz w:val="36"/>
          <w:szCs w:val="36"/>
        </w:rPr>
      </w:pPr>
    </w:p>
    <w:p>
      <w:pPr>
        <w:jc w:val="center"/>
        <w:rPr>
          <w:rFonts w:ascii="Times New Roman" w:hAnsi="Times New Roman" w:cs="Times New Roman"/>
          <w:b/>
          <w:bCs/>
          <w:color w:val="000000"/>
          <w:sz w:val="36"/>
          <w:szCs w:val="36"/>
        </w:rPr>
      </w:pPr>
      <w:r>
        <w:rPr>
          <w:rFonts w:ascii="Times New Roman" w:hAnsi="Times New Roman" w:cs="Times New Roman"/>
          <w:b/>
          <w:bCs/>
          <w:sz w:val="36"/>
          <w:szCs w:val="36"/>
        </w:rPr>
        <w:t>咸宁黄浦丰田汽车销售服务有限公司</w:t>
      </w:r>
      <w:r>
        <w:rPr>
          <w:rFonts w:ascii="Times New Roman" w:hAnsi="Times New Roman" w:cs="Times New Roman"/>
          <w:b/>
          <w:bCs/>
          <w:color w:val="000000"/>
          <w:kern w:val="0"/>
          <w:sz w:val="36"/>
          <w:szCs w:val="36"/>
        </w:rPr>
        <w:t>咸宁一汽丰田4S店项目</w:t>
      </w:r>
      <w:r>
        <w:rPr>
          <w:rFonts w:ascii="Times New Roman" w:hAnsi="Times New Roman" w:cs="Times New Roman"/>
          <w:b/>
          <w:bCs/>
          <w:color w:val="000000"/>
          <w:sz w:val="36"/>
          <w:szCs w:val="36"/>
        </w:rPr>
        <w:t>竣工环境保护验收监测报告表</w:t>
      </w:r>
    </w:p>
    <w:p>
      <w:pPr>
        <w:pStyle w:val="8"/>
        <w:jc w:val="center"/>
        <w:rPr>
          <w:rFonts w:ascii="Times New Roman" w:hAnsi="Times New Roman" w:cs="Times New Roman"/>
        </w:rPr>
      </w:pPr>
      <w:r>
        <w:rPr>
          <w:rFonts w:ascii="Times New Roman" w:hAnsi="Times New Roman" w:cs="Times New Roman"/>
          <w:b/>
          <w:sz w:val="28"/>
          <w:szCs w:val="28"/>
        </w:rPr>
        <w:t>鄂公信验字[2020]第0</w:t>
      </w:r>
      <w:r>
        <w:rPr>
          <w:rFonts w:hint="eastAsia" w:ascii="Times New Roman" w:hAnsi="Times New Roman" w:cs="Times New Roman"/>
          <w:b/>
          <w:sz w:val="28"/>
          <w:szCs w:val="28"/>
        </w:rPr>
        <w:t>16</w:t>
      </w:r>
      <w:r>
        <w:rPr>
          <w:rFonts w:ascii="Times New Roman" w:hAnsi="Times New Roman" w:cs="Times New Roman"/>
          <w:b/>
          <w:sz w:val="28"/>
          <w:szCs w:val="28"/>
        </w:rPr>
        <w:t>号</w:t>
      </w:r>
    </w:p>
    <w:p>
      <w:pPr>
        <w:rPr>
          <w:rFonts w:ascii="Times New Roman" w:hAnsi="Times New Roman" w:cs="Times New Roman" w:eastAsiaTheme="majorEastAsia"/>
          <w:color w:val="000000"/>
          <w:sz w:val="52"/>
          <w:szCs w:val="52"/>
        </w:rPr>
      </w:pPr>
    </w:p>
    <w:p>
      <w:pPr>
        <w:jc w:val="center"/>
        <w:rPr>
          <w:rFonts w:ascii="Times New Roman" w:hAnsi="Times New Roman" w:cs="Times New Roman" w:eastAsiaTheme="majorEastAsia"/>
          <w:color w:val="000000"/>
          <w:sz w:val="52"/>
          <w:szCs w:val="52"/>
        </w:rPr>
      </w:pPr>
    </w:p>
    <w:p>
      <w:pPr>
        <w:rPr>
          <w:rFonts w:ascii="Times New Roman" w:hAnsi="Times New Roman" w:cs="Times New Roman" w:eastAsiaTheme="majorEastAsia"/>
          <w:color w:val="000000"/>
          <w:sz w:val="52"/>
          <w:szCs w:val="52"/>
        </w:rPr>
      </w:pPr>
    </w:p>
    <w:p>
      <w:pPr>
        <w:pStyle w:val="8"/>
        <w:rPr>
          <w:rFonts w:ascii="Times New Roman" w:hAnsi="Times New Roman" w:cs="Times New Roman" w:eastAsiaTheme="majorEastAsia"/>
          <w:color w:val="000000"/>
          <w:sz w:val="52"/>
          <w:szCs w:val="52"/>
        </w:rPr>
      </w:pPr>
    </w:p>
    <w:p>
      <w:pPr>
        <w:pStyle w:val="8"/>
        <w:rPr>
          <w:rFonts w:ascii="Times New Roman" w:hAnsi="Times New Roman" w:cs="Times New Roman" w:eastAsiaTheme="majorEastAsia"/>
          <w:color w:val="000000"/>
          <w:sz w:val="52"/>
          <w:szCs w:val="52"/>
        </w:rPr>
      </w:pPr>
    </w:p>
    <w:p>
      <w:pPr>
        <w:rPr>
          <w:rFonts w:ascii="Times New Roman" w:hAnsi="Times New Roman" w:cs="Times New Roman" w:eastAsiaTheme="majorEastAsia"/>
          <w:color w:val="000000"/>
          <w:sz w:val="52"/>
          <w:szCs w:val="52"/>
        </w:rPr>
      </w:pPr>
      <w:r>
        <w:rPr>
          <w:rFonts w:ascii="Times New Roman" w:hAnsi="Times New Roman" w:cs="Times New Roman" w:eastAsiaTheme="majorEastAsia"/>
          <w:color w:val="000000"/>
          <w:sz w:val="52"/>
          <w:szCs w:val="52"/>
        </w:rPr>
        <w:tab/>
      </w:r>
    </w:p>
    <w:p>
      <w:pPr>
        <w:jc w:val="center"/>
        <w:rPr>
          <w:rFonts w:ascii="Times New Roman" w:hAnsi="Times New Roman" w:cs="Times New Roman" w:eastAsiaTheme="majorEastAsia"/>
          <w:b/>
          <w:bCs/>
          <w:color w:val="000000"/>
          <w:sz w:val="30"/>
          <w:szCs w:val="30"/>
        </w:rPr>
      </w:pPr>
      <w:r>
        <w:rPr>
          <w:rFonts w:ascii="Times New Roman" w:hAnsi="Times New Roman" w:cs="Times New Roman" w:eastAsiaTheme="majorEastAsia"/>
          <w:b/>
          <w:bCs/>
          <w:color w:val="000000"/>
          <w:sz w:val="30"/>
          <w:szCs w:val="30"/>
        </w:rPr>
        <w:t>建设单位:咸宁黄浦丰田汽车销售服务有限公司</w:t>
      </w:r>
    </w:p>
    <w:p>
      <w:pPr>
        <w:ind w:firstLine="1506" w:firstLineChars="500"/>
        <w:rPr>
          <w:rFonts w:ascii="Times New Roman" w:hAnsi="Times New Roman" w:cs="Times New Roman" w:eastAsiaTheme="majorEastAsia"/>
          <w:color w:val="000000"/>
          <w:sz w:val="52"/>
          <w:szCs w:val="52"/>
        </w:rPr>
      </w:pPr>
      <w:r>
        <w:rPr>
          <w:rFonts w:ascii="Times New Roman" w:hAnsi="Times New Roman" w:cs="Times New Roman" w:eastAsiaTheme="majorEastAsia"/>
          <w:b/>
          <w:bCs/>
          <w:color w:val="000000"/>
          <w:sz w:val="30"/>
          <w:szCs w:val="30"/>
        </w:rPr>
        <w:t>编制单位:湖北省公信检测服务有限公司</w:t>
      </w:r>
    </w:p>
    <w:p>
      <w:pPr>
        <w:rPr>
          <w:rFonts w:ascii="Times New Roman" w:hAnsi="Times New Roman" w:cs="Times New Roman" w:eastAsiaTheme="majorEastAsia"/>
          <w:color w:val="000000"/>
          <w:sz w:val="52"/>
          <w:szCs w:val="52"/>
        </w:rPr>
      </w:pPr>
    </w:p>
    <w:p>
      <w:pPr>
        <w:jc w:val="center"/>
        <w:rPr>
          <w:rFonts w:ascii="Times New Roman" w:hAnsi="Times New Roman" w:cs="Times New Roman" w:eastAsiaTheme="majorEastAsia"/>
          <w:b/>
          <w:color w:val="000000"/>
          <w:sz w:val="36"/>
          <w:szCs w:val="36"/>
        </w:rPr>
      </w:pPr>
      <w:r>
        <w:rPr>
          <w:rFonts w:ascii="Times New Roman" w:hAnsi="Times New Roman" w:cs="Times New Roman" w:eastAsiaTheme="majorEastAsia"/>
          <w:b/>
          <w:color w:val="000000"/>
          <w:sz w:val="36"/>
          <w:szCs w:val="36"/>
        </w:rPr>
        <w:t>2020年</w:t>
      </w:r>
      <w:r>
        <w:rPr>
          <w:rFonts w:hint="eastAsia" w:ascii="Times New Roman" w:hAnsi="Times New Roman" w:cs="Times New Roman" w:eastAsiaTheme="majorEastAsia"/>
          <w:b/>
          <w:color w:val="000000"/>
          <w:sz w:val="36"/>
          <w:szCs w:val="36"/>
        </w:rPr>
        <w:t>6</w:t>
      </w:r>
      <w:r>
        <w:rPr>
          <w:rFonts w:ascii="Times New Roman" w:hAnsi="Times New Roman" w:cs="Times New Roman" w:eastAsiaTheme="majorEastAsia"/>
          <w:b/>
          <w:color w:val="000000"/>
          <w:sz w:val="36"/>
          <w:szCs w:val="36"/>
        </w:rPr>
        <w:t>月</w:t>
      </w:r>
    </w:p>
    <w:p>
      <w:pPr>
        <w:rPr>
          <w:rFonts w:ascii="Times New Roman" w:hAnsi="Times New Roman" w:cs="Times New Roman" w:eastAsiaTheme="majorEastAsia"/>
          <w:color w:val="000000"/>
          <w:sz w:val="36"/>
          <w:szCs w:val="36"/>
        </w:rPr>
      </w:pPr>
      <w:r>
        <w:rPr>
          <w:rFonts w:ascii="Times New Roman" w:hAnsi="Times New Roman" w:cs="Times New Roman" w:eastAsiaTheme="majorEastAsia"/>
          <w:color w:val="000000"/>
          <w:sz w:val="36"/>
          <w:szCs w:val="36"/>
        </w:rPr>
        <w:br w:type="page"/>
      </w:r>
    </w:p>
    <w:p>
      <w:pPr>
        <w:pStyle w:val="2"/>
        <w:rPr>
          <w:rFonts w:hint="default"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pStyle w:val="2"/>
        <w:rPr>
          <w:rFonts w:hint="default" w:ascii="Times New Roman" w:hAnsi="Times New Roman" w:cs="Times New Roman"/>
          <w:b/>
          <w:sz w:val="32"/>
          <w:szCs w:val="32"/>
        </w:rPr>
      </w:pPr>
      <w:r>
        <w:rPr>
          <w:rFonts w:hint="default" w:ascii="Times New Roman" w:hAnsi="Times New Roman" w:cs="Times New Roman"/>
          <w:b/>
          <w:sz w:val="32"/>
          <w:szCs w:val="32"/>
        </w:rPr>
        <w:pict>
          <v:shape id="_x0000_s1026" o:spid="_x0000_s1026" o:spt="202" type="#_x0000_t202" style="position:absolute;left:0pt;margin-left:-45.7pt;margin-top:318.4pt;height:65.9pt;width:524.5pt;z-index:258690048;mso-width-relative:page;mso-height-relative:page;" filled="f" stroked="f" coordsize="21600,21600" o:gfxdata="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ujhtkAAAALAQAADwAAAAAAAAABACAAAAAiAAAAZHJzL2Rv&#10;d25yZXYueG1sUEsBAhQAFAAAAAgAh07iQD+mUy6OAQAAAAMAAA4AAAAAAAAAAQAgAAAAKAEAAGRy&#10;cy9lMm9Eb2MueG1sUEsFBgAAAAAGAAYAWQEAACgFAAAAAA==&#10;">
            <v:path/>
            <v:fill on="f" focussize="0,0"/>
            <v:stroke on="f" joinstyle="miter"/>
            <v:imagedata o:title=""/>
            <o:lock v:ext="edit"/>
            <v:textbox>
              <w:txbxContent>
                <w:p>
                  <w:pPr>
                    <w:spacing w:line="400" w:lineRule="exact"/>
                    <w:jc w:val="left"/>
                    <w:rPr>
                      <w:rFonts w:ascii="黑体" w:hAnsi="黑体" w:eastAsia="黑体"/>
                      <w:color w:val="FF0000"/>
                      <w:sz w:val="28"/>
                      <w:szCs w:val="28"/>
                    </w:rPr>
                  </w:pPr>
                  <w:r>
                    <w:rPr>
                      <w:rFonts w:hint="eastAsia" w:ascii="黑体" w:hAnsi="黑体" w:eastAsia="黑体"/>
                      <w:b/>
                      <w:bCs/>
                      <w:color w:val="FF0000"/>
                      <w:sz w:val="28"/>
                      <w:szCs w:val="28"/>
                    </w:rPr>
                    <w:t>仅</w:t>
                  </w:r>
                  <w:r>
                    <w:rPr>
                      <w:rFonts w:hint="eastAsia" w:ascii="黑体" w:hAnsi="黑体" w:eastAsia="黑体"/>
                      <w:color w:val="FF0000"/>
                      <w:sz w:val="28"/>
                      <w:szCs w:val="28"/>
                    </w:rPr>
                    <w:t>限咸宁黄浦丰田汽车销售服务有限公司咸宁一汽丰田4S店项目竣</w:t>
                  </w:r>
                  <w:r>
                    <w:rPr>
                      <w:rFonts w:ascii="黑体" w:hAnsi="黑体" w:eastAsia="黑体"/>
                      <w:color w:val="FF0000"/>
                      <w:sz w:val="28"/>
                      <w:szCs w:val="28"/>
                    </w:rPr>
                    <w:t>工环境保护验收使用</w:t>
                  </w:r>
                </w:p>
              </w:txbxContent>
            </v:textbox>
          </v:shape>
        </w:pict>
      </w:r>
      <w:r>
        <w:rPr>
          <w:rFonts w:hint="default" w:ascii="Times New Roman" w:hAnsi="Times New Roman" w:cs="Times New Roman"/>
          <w:b/>
          <w:sz w:val="32"/>
          <w:szCs w:val="32"/>
        </w:rPr>
        <w:drawing>
          <wp:inline distT="0" distB="0" distL="114300" distR="114300">
            <wp:extent cx="5951220" cy="8566150"/>
            <wp:effectExtent l="0" t="0" r="11430" b="6350"/>
            <wp:docPr id="7" name="图片 2" descr="验收新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验收新资质证书"/>
                    <pic:cNvPicPr>
                      <a:picLocks noChangeAspect="1"/>
                    </pic:cNvPicPr>
                  </pic:nvPicPr>
                  <pic:blipFill>
                    <a:blip r:embed="rId18"/>
                    <a:stretch>
                      <a:fillRect/>
                    </a:stretch>
                  </pic:blipFill>
                  <pic:spPr>
                    <a:xfrm>
                      <a:off x="0" y="0"/>
                      <a:ext cx="5951220" cy="8566150"/>
                    </a:xfrm>
                    <a:prstGeom prst="rect">
                      <a:avLst/>
                    </a:prstGeom>
                    <a:noFill/>
                    <a:ln>
                      <a:noFill/>
                    </a:ln>
                  </pic:spPr>
                </pic:pic>
              </a:graphicData>
            </a:graphic>
          </wp:inline>
        </w:drawing>
      </w:r>
    </w:p>
    <w:p>
      <w:pPr>
        <w:rPr>
          <w:rFonts w:ascii="Times New Roman" w:hAnsi="Times New Roman" w:cs="Times New Roman"/>
          <w:b/>
          <w:sz w:val="32"/>
          <w:szCs w:val="32"/>
        </w:rPr>
      </w:pPr>
      <w:r>
        <w:rPr>
          <w:rFonts w:ascii="Times New Roman" w:hAnsi="Times New Roman" w:cs="Times New Roman"/>
          <w:b/>
          <w:sz w:val="32"/>
          <w:szCs w:val="32"/>
        </w:rPr>
        <w:br w:type="page"/>
      </w:r>
    </w:p>
    <w:p>
      <w:pPr>
        <w:pStyle w:val="2"/>
        <w:rPr>
          <w:rFonts w:hint="default" w:ascii="Times New Roman" w:hAnsi="Times New Roman" w:cs="Times New Roman"/>
          <w:b/>
          <w:sz w:val="32"/>
          <w:szCs w:val="32"/>
        </w:rPr>
        <w:sectPr>
          <w:footerReference r:id="rId3" w:type="default"/>
          <w:pgSz w:w="11906" w:h="16838"/>
          <w:pgMar w:top="1440" w:right="1800" w:bottom="1440" w:left="1800" w:header="708" w:footer="708" w:gutter="0"/>
          <w:cols w:space="720" w:num="1"/>
          <w:docGrid w:linePitch="360" w:charSpace="0"/>
        </w:sectPr>
      </w:pPr>
    </w:p>
    <w:p>
      <w:pPr>
        <w:spacing w:line="480" w:lineRule="auto"/>
        <w:rPr>
          <w:rFonts w:ascii="Times New Roman" w:hAnsi="Times New Roman" w:cs="Times New Roman" w:eastAsiaTheme="minorEastAsia"/>
          <w:color w:val="000000"/>
          <w:sz w:val="28"/>
        </w:rPr>
      </w:pPr>
      <w:r>
        <w:rPr>
          <w:rFonts w:ascii="Times New Roman" w:hAnsi="Times New Roman" w:cs="Times New Roman" w:eastAsiaTheme="minorEastAsia"/>
          <w:b/>
          <w:color w:val="000000"/>
          <w:sz w:val="28"/>
        </w:rPr>
        <w:t>建设单位法人代表:</w:t>
      </w:r>
      <w:r>
        <w:rPr>
          <w:rFonts w:ascii="Times New Roman" w:hAnsi="Times New Roman" w:cs="Times New Roman" w:eastAsiaTheme="minorEastAsia"/>
          <w:color w:val="000000"/>
          <w:sz w:val="28"/>
        </w:rPr>
        <w:tab/>
      </w:r>
      <w:r>
        <w:rPr>
          <w:rFonts w:ascii="Times New Roman" w:hAnsi="Times New Roman" w:cs="Times New Roman" w:eastAsiaTheme="minorEastAsia"/>
          <w:color w:val="000000"/>
          <w:sz w:val="28"/>
        </w:rPr>
        <w:t xml:space="preserve">          （签字）</w:t>
      </w:r>
    </w:p>
    <w:p>
      <w:pPr>
        <w:pStyle w:val="8"/>
        <w:rPr>
          <w:rFonts w:ascii="Times New Roman" w:hAnsi="Times New Roman" w:cs="Times New Roman"/>
        </w:rPr>
      </w:pPr>
    </w:p>
    <w:p>
      <w:pPr>
        <w:spacing w:line="480" w:lineRule="auto"/>
        <w:rPr>
          <w:rFonts w:ascii="Times New Roman" w:hAnsi="Times New Roman" w:cs="Times New Roman" w:eastAsiaTheme="minorEastAsia"/>
          <w:color w:val="000000"/>
          <w:sz w:val="28"/>
        </w:rPr>
      </w:pPr>
      <w:r>
        <w:rPr>
          <w:rFonts w:ascii="Times New Roman" w:hAnsi="Times New Roman" w:cs="Times New Roman" w:eastAsiaTheme="minorEastAsia"/>
          <w:b/>
          <w:color w:val="000000"/>
          <w:sz w:val="28"/>
        </w:rPr>
        <w:t>编制单位法人代表:</w:t>
      </w:r>
      <w:r>
        <w:rPr>
          <w:rFonts w:ascii="Times New Roman" w:hAnsi="Times New Roman" w:cs="Times New Roman" w:eastAsiaTheme="minorEastAsia"/>
          <w:color w:val="000000"/>
          <w:sz w:val="28"/>
        </w:rPr>
        <w:tab/>
      </w:r>
      <w:r>
        <w:rPr>
          <w:rFonts w:ascii="Times New Roman" w:hAnsi="Times New Roman" w:cs="Times New Roman" w:eastAsiaTheme="minorEastAsia"/>
          <w:color w:val="000000"/>
          <w:sz w:val="28"/>
        </w:rPr>
        <w:t xml:space="preserve">          （签字）</w:t>
      </w:r>
    </w:p>
    <w:p>
      <w:pPr>
        <w:pStyle w:val="8"/>
        <w:rPr>
          <w:rFonts w:ascii="Times New Roman" w:hAnsi="Times New Roman" w:cs="Times New Roman"/>
        </w:rPr>
      </w:pPr>
    </w:p>
    <w:p>
      <w:pPr>
        <w:spacing w:line="480" w:lineRule="auto"/>
        <w:rPr>
          <w:rFonts w:ascii="Times New Roman" w:hAnsi="Times New Roman" w:cs="Times New Roman" w:eastAsiaTheme="minorEastAsia"/>
          <w:b/>
          <w:color w:val="000000"/>
          <w:sz w:val="28"/>
        </w:rPr>
      </w:pPr>
      <w:r>
        <w:rPr>
          <w:rFonts w:ascii="Times New Roman" w:hAnsi="Times New Roman" w:cs="Times New Roman" w:eastAsiaTheme="minorEastAsia"/>
          <w:b/>
          <w:color w:val="000000"/>
          <w:sz w:val="28"/>
        </w:rPr>
        <w:t>项  目  负 责  人:</w:t>
      </w:r>
    </w:p>
    <w:p>
      <w:pPr>
        <w:pStyle w:val="8"/>
        <w:rPr>
          <w:rFonts w:ascii="Times New Roman" w:hAnsi="Times New Roman" w:cs="Times New Roman"/>
        </w:rPr>
      </w:pPr>
    </w:p>
    <w:p>
      <w:pPr>
        <w:spacing w:line="480" w:lineRule="auto"/>
        <w:rPr>
          <w:rFonts w:ascii="Times New Roman" w:hAnsi="Times New Roman" w:cs="Times New Roman" w:eastAsiaTheme="minorEastAsia"/>
          <w:b/>
          <w:color w:val="000000"/>
          <w:sz w:val="28"/>
        </w:rPr>
      </w:pPr>
      <w:r>
        <w:rPr>
          <w:rFonts w:ascii="Times New Roman" w:hAnsi="Times New Roman" w:cs="Times New Roman" w:eastAsiaTheme="minorEastAsia"/>
          <w:b/>
          <w:color w:val="000000"/>
          <w:sz w:val="28"/>
        </w:rPr>
        <w:t>填 表人：</w:t>
      </w:r>
    </w:p>
    <w:p>
      <w:pPr>
        <w:rPr>
          <w:rFonts w:ascii="Times New Roman" w:hAnsi="Times New Roman" w:cs="Times New Roman" w:eastAsiaTheme="minorEastAsia"/>
          <w:color w:val="000000"/>
          <w:sz w:val="28"/>
        </w:rPr>
      </w:pPr>
      <w:r>
        <w:rPr>
          <w:rFonts w:ascii="Times New Roman" w:hAnsi="Times New Roman" w:cs="Times New Roman" w:eastAsiaTheme="minorEastAsia"/>
          <w:color w:val="000000"/>
          <w:sz w:val="28"/>
        </w:rPr>
        <w:tab/>
      </w:r>
    </w:p>
    <w:p>
      <w:pPr>
        <w:rPr>
          <w:rFonts w:ascii="Times New Roman" w:hAnsi="Times New Roman" w:cs="Times New Roman" w:eastAsiaTheme="minorEastAsia"/>
          <w:color w:val="000000"/>
          <w:sz w:val="28"/>
        </w:rPr>
      </w:pPr>
    </w:p>
    <w:p>
      <w:pPr>
        <w:tabs>
          <w:tab w:val="left" w:pos="984"/>
        </w:tabs>
        <w:rPr>
          <w:rFonts w:ascii="Times New Roman" w:hAnsi="Times New Roman" w:cs="Times New Roman" w:eastAsiaTheme="minorEastAsia"/>
          <w:color w:val="000000"/>
          <w:sz w:val="28"/>
        </w:rPr>
      </w:pPr>
      <w:r>
        <w:rPr>
          <w:rFonts w:ascii="Times New Roman" w:hAnsi="Times New Roman" w:cs="Times New Roman" w:eastAsiaTheme="minorEastAsia"/>
          <w:color w:val="000000"/>
          <w:sz w:val="28"/>
        </w:rPr>
        <w:tab/>
      </w:r>
    </w:p>
    <w:p>
      <w:pPr>
        <w:tabs>
          <w:tab w:val="left" w:pos="984"/>
        </w:tabs>
        <w:rPr>
          <w:rFonts w:ascii="Times New Roman" w:hAnsi="Times New Roman" w:cs="Times New Roman" w:eastAsiaTheme="minorEastAsia"/>
          <w:color w:val="000000"/>
          <w:sz w:val="28"/>
        </w:rPr>
      </w:pPr>
    </w:p>
    <w:p>
      <w:pPr>
        <w:rPr>
          <w:rFonts w:ascii="Times New Roman" w:hAnsi="Times New Roman" w:cs="Times New Roman" w:eastAsiaTheme="minorEastAsia"/>
          <w:color w:val="000000"/>
          <w:sz w:val="28"/>
        </w:rPr>
      </w:pPr>
    </w:p>
    <w:p>
      <w:pPr>
        <w:rPr>
          <w:rFonts w:ascii="Times New Roman" w:hAnsi="Times New Roman" w:cs="Times New Roman" w:eastAsiaTheme="minorEastAsia"/>
          <w:color w:val="000000"/>
          <w:sz w:val="28"/>
        </w:rPr>
      </w:pPr>
    </w:p>
    <w:p>
      <w:pPr>
        <w:rPr>
          <w:rFonts w:ascii="Times New Roman" w:hAnsi="Times New Roman" w:cs="Times New Roman" w:eastAsiaTheme="minorEastAsia"/>
          <w:color w:val="000000"/>
          <w:sz w:val="28"/>
        </w:rPr>
      </w:pPr>
    </w:p>
    <w:p>
      <w:pPr>
        <w:rPr>
          <w:rFonts w:ascii="Times New Roman" w:hAnsi="Times New Roman" w:cs="Times New Roman" w:eastAsiaTheme="minorEastAsia"/>
          <w:color w:val="000000"/>
          <w:sz w:val="28"/>
        </w:rPr>
      </w:pPr>
    </w:p>
    <w:p>
      <w:pPr>
        <w:rPr>
          <w:rFonts w:ascii="Times New Roman" w:hAnsi="Times New Roman" w:cs="Times New Roman" w:eastAsiaTheme="minorEastAsia"/>
          <w:color w:val="000000"/>
          <w:sz w:val="28"/>
        </w:rPr>
      </w:pPr>
    </w:p>
    <w:tbl>
      <w:tblPr>
        <w:tblStyle w:val="16"/>
        <w:tblpPr w:leftFromText="180" w:rightFromText="180" w:vertAnchor="text" w:horzAnchor="page" w:tblpXSpec="center" w:tblpY="251"/>
        <w:tblW w:w="10331" w:type="dxa"/>
        <w:jc w:val="center"/>
        <w:tblLayout w:type="fixed"/>
        <w:tblCellMar>
          <w:top w:w="0" w:type="dxa"/>
          <w:left w:w="108" w:type="dxa"/>
          <w:bottom w:w="0" w:type="dxa"/>
          <w:right w:w="108" w:type="dxa"/>
        </w:tblCellMar>
      </w:tblPr>
      <w:tblGrid>
        <w:gridCol w:w="5039"/>
        <w:gridCol w:w="5292"/>
      </w:tblGrid>
      <w:tr>
        <w:tblPrEx>
          <w:tblCellMar>
            <w:top w:w="0" w:type="dxa"/>
            <w:left w:w="108" w:type="dxa"/>
            <w:bottom w:w="0" w:type="dxa"/>
            <w:right w:w="108" w:type="dxa"/>
          </w:tblCellMar>
        </w:tblPrEx>
        <w:trPr>
          <w:cantSplit/>
          <w:trHeight w:val="618" w:hRule="atLeast"/>
          <w:jc w:val="center"/>
        </w:trPr>
        <w:tc>
          <w:tcPr>
            <w:tcW w:w="5039" w:type="dxa"/>
            <w:noWrap/>
            <w:vAlign w:val="center"/>
          </w:tcPr>
          <w:p>
            <w:pPr>
              <w:rPr>
                <w:rFonts w:ascii="Times New Roman" w:hAnsi="Times New Roman" w:cs="Times New Roman"/>
                <w:b/>
                <w:kern w:val="0"/>
                <w:sz w:val="24"/>
              </w:rPr>
            </w:pPr>
            <w:r>
              <w:rPr>
                <w:rFonts w:ascii="Times New Roman" w:hAnsi="Times New Roman" w:cs="Times New Roman"/>
                <w:b/>
                <w:kern w:val="0"/>
                <w:sz w:val="24"/>
              </w:rPr>
              <w:t>建设单位：</w:t>
            </w:r>
            <w:r>
              <w:rPr>
                <w:rFonts w:ascii="Times New Roman" w:hAnsi="Times New Roman" w:cs="Times New Roman"/>
                <w:bCs/>
                <w:kern w:val="0"/>
                <w:sz w:val="24"/>
              </w:rPr>
              <w:t>咸宁黄浦丰田汽车销售服务有限公司（盖章）</w:t>
            </w:r>
          </w:p>
        </w:tc>
        <w:tc>
          <w:tcPr>
            <w:tcW w:w="5292" w:type="dxa"/>
            <w:noWrap/>
            <w:vAlign w:val="center"/>
          </w:tcPr>
          <w:p>
            <w:pPr>
              <w:rPr>
                <w:rFonts w:ascii="Times New Roman" w:hAnsi="Times New Roman" w:cs="Times New Roman"/>
                <w:b/>
                <w:kern w:val="0"/>
                <w:sz w:val="24"/>
              </w:rPr>
            </w:pPr>
            <w:r>
              <w:rPr>
                <w:rFonts w:ascii="Times New Roman" w:hAnsi="Times New Roman" w:cs="Times New Roman"/>
                <w:b/>
                <w:kern w:val="0"/>
                <w:sz w:val="24"/>
              </w:rPr>
              <w:t>编制单位：</w:t>
            </w:r>
            <w:r>
              <w:rPr>
                <w:rFonts w:ascii="Times New Roman" w:hAnsi="Times New Roman" w:cs="Times New Roman"/>
                <w:bCs/>
                <w:kern w:val="0"/>
                <w:sz w:val="24"/>
              </w:rPr>
              <w:t>湖北省公信检测服务有限公司（盖章）</w:t>
            </w:r>
          </w:p>
        </w:tc>
      </w:tr>
      <w:tr>
        <w:tblPrEx>
          <w:tblCellMar>
            <w:top w:w="0" w:type="dxa"/>
            <w:left w:w="108" w:type="dxa"/>
            <w:bottom w:w="0" w:type="dxa"/>
            <w:right w:w="108" w:type="dxa"/>
          </w:tblCellMar>
        </w:tblPrEx>
        <w:trPr>
          <w:cantSplit/>
          <w:trHeight w:val="618" w:hRule="atLeast"/>
          <w:jc w:val="center"/>
        </w:trPr>
        <w:tc>
          <w:tcPr>
            <w:tcW w:w="5039" w:type="dxa"/>
            <w:noWrap/>
            <w:vAlign w:val="center"/>
          </w:tcPr>
          <w:p>
            <w:pPr>
              <w:rPr>
                <w:rFonts w:ascii="Times New Roman" w:hAnsi="Times New Roman" w:cs="Times New Roman"/>
                <w:b/>
                <w:kern w:val="0"/>
                <w:sz w:val="24"/>
              </w:rPr>
            </w:pPr>
            <w:r>
              <w:rPr>
                <w:rFonts w:ascii="Times New Roman" w:hAnsi="Times New Roman" w:cs="Times New Roman"/>
                <w:b/>
                <w:kern w:val="0"/>
                <w:sz w:val="24"/>
              </w:rPr>
              <w:t>电话：</w:t>
            </w:r>
            <w:r>
              <w:rPr>
                <w:rFonts w:ascii="Times New Roman" w:hAnsi="Times New Roman" w:cs="Times New Roman"/>
                <w:sz w:val="24"/>
              </w:rPr>
              <w:t>15172723821</w:t>
            </w:r>
          </w:p>
        </w:tc>
        <w:tc>
          <w:tcPr>
            <w:tcW w:w="5292" w:type="dxa"/>
            <w:noWrap/>
            <w:vAlign w:val="center"/>
          </w:tcPr>
          <w:p>
            <w:pPr>
              <w:rPr>
                <w:rFonts w:ascii="Times New Roman" w:hAnsi="Times New Roman" w:cs="Times New Roman"/>
                <w:b/>
                <w:kern w:val="0"/>
                <w:sz w:val="24"/>
              </w:rPr>
            </w:pPr>
            <w:r>
              <w:rPr>
                <w:rFonts w:ascii="Times New Roman" w:hAnsi="Times New Roman" w:cs="Times New Roman"/>
                <w:b/>
                <w:kern w:val="0"/>
                <w:sz w:val="24"/>
              </w:rPr>
              <w:t>电话：</w:t>
            </w:r>
            <w:r>
              <w:rPr>
                <w:rFonts w:ascii="Times New Roman" w:hAnsi="Times New Roman" w:cs="Times New Roman"/>
                <w:bCs/>
                <w:kern w:val="0"/>
                <w:sz w:val="24"/>
              </w:rPr>
              <w:t>0715-8825118</w:t>
            </w:r>
          </w:p>
        </w:tc>
      </w:tr>
      <w:tr>
        <w:tblPrEx>
          <w:tblCellMar>
            <w:top w:w="0" w:type="dxa"/>
            <w:left w:w="108" w:type="dxa"/>
            <w:bottom w:w="0" w:type="dxa"/>
            <w:right w:w="108" w:type="dxa"/>
          </w:tblCellMar>
        </w:tblPrEx>
        <w:trPr>
          <w:cantSplit/>
          <w:trHeight w:val="618" w:hRule="atLeast"/>
          <w:jc w:val="center"/>
        </w:trPr>
        <w:tc>
          <w:tcPr>
            <w:tcW w:w="5039" w:type="dxa"/>
            <w:noWrap/>
            <w:vAlign w:val="center"/>
          </w:tcPr>
          <w:p>
            <w:pPr>
              <w:rPr>
                <w:rFonts w:ascii="Times New Roman" w:hAnsi="Times New Roman" w:cs="Times New Roman"/>
                <w:b/>
                <w:kern w:val="0"/>
                <w:sz w:val="24"/>
              </w:rPr>
            </w:pPr>
            <w:r>
              <w:rPr>
                <w:rFonts w:ascii="Times New Roman" w:hAnsi="Times New Roman" w:cs="Times New Roman"/>
                <w:b/>
                <w:kern w:val="0"/>
                <w:sz w:val="24"/>
              </w:rPr>
              <w:t>传真：/</w:t>
            </w:r>
          </w:p>
        </w:tc>
        <w:tc>
          <w:tcPr>
            <w:tcW w:w="5292" w:type="dxa"/>
            <w:noWrap/>
            <w:vAlign w:val="center"/>
          </w:tcPr>
          <w:p>
            <w:pPr>
              <w:rPr>
                <w:rFonts w:ascii="Times New Roman" w:hAnsi="Times New Roman" w:cs="Times New Roman"/>
                <w:b/>
                <w:kern w:val="0"/>
                <w:sz w:val="24"/>
              </w:rPr>
            </w:pPr>
            <w:r>
              <w:rPr>
                <w:rFonts w:ascii="Times New Roman" w:hAnsi="Times New Roman" w:cs="Times New Roman"/>
                <w:b/>
                <w:kern w:val="0"/>
                <w:sz w:val="24"/>
              </w:rPr>
              <w:t>传真</w:t>
            </w:r>
            <w:r>
              <w:rPr>
                <w:rFonts w:ascii="Times New Roman" w:hAnsi="Times New Roman" w:cs="Times New Roman"/>
                <w:kern w:val="0"/>
                <w:sz w:val="24"/>
              </w:rPr>
              <w:t>：</w:t>
            </w:r>
            <w:r>
              <w:rPr>
                <w:rFonts w:ascii="Times New Roman" w:hAnsi="Times New Roman" w:cs="Times New Roman"/>
                <w:sz w:val="24"/>
              </w:rPr>
              <w:t>0715-8825118</w:t>
            </w:r>
          </w:p>
        </w:tc>
      </w:tr>
      <w:tr>
        <w:tblPrEx>
          <w:tblCellMar>
            <w:top w:w="0" w:type="dxa"/>
            <w:left w:w="108" w:type="dxa"/>
            <w:bottom w:w="0" w:type="dxa"/>
            <w:right w:w="108" w:type="dxa"/>
          </w:tblCellMar>
        </w:tblPrEx>
        <w:trPr>
          <w:cantSplit/>
          <w:trHeight w:val="618" w:hRule="atLeast"/>
          <w:jc w:val="center"/>
        </w:trPr>
        <w:tc>
          <w:tcPr>
            <w:tcW w:w="5039" w:type="dxa"/>
            <w:noWrap/>
            <w:vAlign w:val="center"/>
          </w:tcPr>
          <w:p>
            <w:pPr>
              <w:rPr>
                <w:rFonts w:ascii="Times New Roman" w:hAnsi="Times New Roman" w:cs="Times New Roman"/>
                <w:bCs/>
                <w:kern w:val="0"/>
                <w:sz w:val="24"/>
              </w:rPr>
            </w:pPr>
            <w:r>
              <w:rPr>
                <w:rFonts w:ascii="Times New Roman" w:hAnsi="Times New Roman" w:cs="Times New Roman"/>
                <w:b/>
                <w:kern w:val="0"/>
                <w:sz w:val="24"/>
              </w:rPr>
              <w:t>邮编：</w:t>
            </w:r>
            <w:r>
              <w:rPr>
                <w:rFonts w:ascii="Times New Roman" w:hAnsi="Times New Roman" w:cs="Times New Roman"/>
                <w:sz w:val="24"/>
              </w:rPr>
              <w:t>437000</w:t>
            </w:r>
          </w:p>
        </w:tc>
        <w:tc>
          <w:tcPr>
            <w:tcW w:w="5292" w:type="dxa"/>
            <w:noWrap/>
            <w:vAlign w:val="center"/>
          </w:tcPr>
          <w:p>
            <w:pPr>
              <w:rPr>
                <w:rFonts w:ascii="Times New Roman" w:hAnsi="Times New Roman" w:cs="Times New Roman"/>
                <w:b/>
                <w:kern w:val="0"/>
                <w:sz w:val="24"/>
              </w:rPr>
            </w:pPr>
            <w:r>
              <w:rPr>
                <w:rFonts w:ascii="Times New Roman" w:hAnsi="Times New Roman" w:cs="Times New Roman"/>
                <w:b/>
                <w:kern w:val="0"/>
                <w:sz w:val="24"/>
              </w:rPr>
              <w:t>邮编</w:t>
            </w:r>
            <w:r>
              <w:rPr>
                <w:rFonts w:ascii="Times New Roman" w:hAnsi="Times New Roman" w:cs="Times New Roman"/>
                <w:kern w:val="0"/>
                <w:sz w:val="24"/>
              </w:rPr>
              <w:t>：</w:t>
            </w:r>
            <w:r>
              <w:rPr>
                <w:rFonts w:ascii="Times New Roman" w:hAnsi="Times New Roman" w:cs="Times New Roman"/>
                <w:sz w:val="24"/>
              </w:rPr>
              <w:t>437000</w:t>
            </w:r>
          </w:p>
        </w:tc>
      </w:tr>
      <w:tr>
        <w:tblPrEx>
          <w:tblCellMar>
            <w:top w:w="0" w:type="dxa"/>
            <w:left w:w="108" w:type="dxa"/>
            <w:bottom w:w="0" w:type="dxa"/>
            <w:right w:w="108" w:type="dxa"/>
          </w:tblCellMar>
        </w:tblPrEx>
        <w:trPr>
          <w:cantSplit/>
          <w:trHeight w:val="618" w:hRule="atLeast"/>
          <w:jc w:val="center"/>
        </w:trPr>
        <w:tc>
          <w:tcPr>
            <w:tcW w:w="5039" w:type="dxa"/>
            <w:noWrap/>
            <w:vAlign w:val="center"/>
          </w:tcPr>
          <w:p>
            <w:pPr>
              <w:widowControl/>
              <w:jc w:val="left"/>
              <w:rPr>
                <w:rFonts w:ascii="Times New Roman" w:hAnsi="Times New Roman" w:cs="Times New Roman"/>
                <w:bCs/>
                <w:kern w:val="0"/>
                <w:sz w:val="24"/>
              </w:rPr>
            </w:pPr>
            <w:r>
              <w:rPr>
                <w:rFonts w:ascii="Times New Roman" w:hAnsi="Times New Roman" w:cs="Times New Roman"/>
                <w:b/>
                <w:kern w:val="0"/>
                <w:sz w:val="24"/>
              </w:rPr>
              <w:t>地址：</w:t>
            </w:r>
            <w:r>
              <w:rPr>
                <w:rFonts w:ascii="Times New Roman" w:hAnsi="Times New Roman" w:cs="Times New Roman"/>
                <w:color w:val="000000"/>
                <w:kern w:val="0"/>
                <w:sz w:val="24"/>
              </w:rPr>
              <w:t>咸宁市咸安经济开发区咸潘公路旁</w:t>
            </w:r>
          </w:p>
        </w:tc>
        <w:tc>
          <w:tcPr>
            <w:tcW w:w="5292" w:type="dxa"/>
            <w:noWrap/>
            <w:vAlign w:val="center"/>
          </w:tcPr>
          <w:p>
            <w:pPr>
              <w:rPr>
                <w:rFonts w:ascii="Times New Roman" w:hAnsi="Times New Roman" w:cs="Times New Roman"/>
                <w:b/>
                <w:kern w:val="0"/>
                <w:sz w:val="24"/>
              </w:rPr>
            </w:pPr>
            <w:r>
              <w:rPr>
                <w:rFonts w:ascii="Times New Roman" w:hAnsi="Times New Roman" w:cs="Times New Roman"/>
                <w:b/>
                <w:kern w:val="0"/>
                <w:sz w:val="24"/>
              </w:rPr>
              <w:t>地址</w:t>
            </w:r>
            <w:r>
              <w:rPr>
                <w:rFonts w:ascii="Times New Roman" w:hAnsi="Times New Roman" w:cs="Times New Roman"/>
                <w:kern w:val="0"/>
                <w:sz w:val="24"/>
              </w:rPr>
              <w:t>：</w:t>
            </w:r>
            <w:r>
              <w:rPr>
                <w:rFonts w:ascii="Times New Roman" w:hAnsi="Times New Roman" w:cs="Times New Roman"/>
                <w:bCs/>
                <w:kern w:val="0"/>
                <w:sz w:val="24"/>
              </w:rPr>
              <w:t>咸宁市十六潭路烈马山巷268号</w:t>
            </w:r>
          </w:p>
        </w:tc>
      </w:tr>
    </w:tbl>
    <w:p>
      <w:pPr>
        <w:rPr>
          <w:rFonts w:ascii="Times New Roman" w:hAnsi="Times New Roman" w:cs="Times New Roman" w:eastAsiaTheme="minorEastAsia"/>
          <w:color w:val="000000"/>
          <w:szCs w:val="21"/>
        </w:rPr>
        <w:sectPr>
          <w:footerReference r:id="rId4" w:type="default"/>
          <w:pgSz w:w="11906" w:h="16838"/>
          <w:pgMar w:top="1440" w:right="1800" w:bottom="1440" w:left="1800" w:header="708" w:footer="708" w:gutter="0"/>
          <w:pgNumType w:start="1"/>
          <w:cols w:space="720" w:num="1"/>
          <w:docGrid w:linePitch="360" w:charSpace="0"/>
        </w:sectPr>
      </w:pPr>
    </w:p>
    <w:p>
      <w:pPr>
        <w:rPr>
          <w:rFonts w:ascii="Times New Roman" w:hAnsi="Times New Roman" w:cs="Times New Roman"/>
          <w:b/>
          <w:color w:val="000000" w:themeColor="text1"/>
          <w:sz w:val="24"/>
        </w:rPr>
        <w:sectPr>
          <w:headerReference r:id="rId6" w:type="first"/>
          <w:footerReference r:id="rId8" w:type="first"/>
          <w:headerReference r:id="rId5" w:type="default"/>
          <w:footerReference r:id="rId7" w:type="default"/>
          <w:pgSz w:w="11906" w:h="16838"/>
          <w:pgMar w:top="1440" w:right="1800" w:bottom="1440" w:left="1800" w:header="851" w:footer="992" w:gutter="0"/>
          <w:cols w:space="425" w:num="1"/>
          <w:titlePg/>
          <w:docGrid w:type="lines" w:linePitch="312" w:charSpace="0"/>
        </w:sectPr>
      </w:pPr>
    </w:p>
    <w:p>
      <w:pPr>
        <w:rPr>
          <w:rFonts w:ascii="Times New Roman" w:hAnsi="Times New Roman" w:cs="Times New Roman"/>
          <w:bCs/>
          <w:color w:val="000000" w:themeColor="text1"/>
          <w:sz w:val="24"/>
        </w:rPr>
      </w:pPr>
      <w:r>
        <w:rPr>
          <w:rFonts w:ascii="Times New Roman" w:hAnsi="Times New Roman" w:cs="Times New Roman"/>
          <w:b/>
          <w:color w:val="000000" w:themeColor="text1"/>
          <w:sz w:val="24"/>
        </w:rPr>
        <w:t>附图</w:t>
      </w:r>
      <w:r>
        <w:rPr>
          <w:rFonts w:ascii="Times New Roman" w:hAnsi="Times New Roman" w:cs="Times New Roman"/>
          <w:bCs/>
          <w:color w:val="000000" w:themeColor="text1"/>
          <w:sz w:val="24"/>
        </w:rPr>
        <w:t>：</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1、项目地理位置图</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2、项目周边环境</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3、厂区平面图</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4、维修车间平面图</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5、厂区雨污分流图</w:t>
      </w:r>
    </w:p>
    <w:p>
      <w:pPr>
        <w:rPr>
          <w:rFonts w:ascii="Times New Roman" w:hAnsi="Times New Roman" w:cs="Times New Roman"/>
          <w:b/>
          <w:color w:val="000000" w:themeColor="text1"/>
          <w:sz w:val="24"/>
        </w:rPr>
      </w:pPr>
      <w:r>
        <w:rPr>
          <w:rFonts w:ascii="Times New Roman" w:hAnsi="Times New Roman" w:cs="Times New Roman"/>
          <w:b/>
          <w:color w:val="000000" w:themeColor="text1"/>
          <w:sz w:val="24"/>
        </w:rPr>
        <w:t>附件：</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1、验收监测委托书</w:t>
      </w:r>
    </w:p>
    <w:p>
      <w:pPr>
        <w:pStyle w:val="2"/>
        <w:spacing w:line="360" w:lineRule="auto"/>
        <w:rPr>
          <w:rFonts w:hint="default" w:ascii="Times New Roman" w:hAnsi="Times New Roman" w:cs="Times New Roman"/>
          <w:bCs/>
          <w:color w:val="000000" w:themeColor="text1"/>
          <w:kern w:val="2"/>
          <w:szCs w:val="24"/>
        </w:rPr>
      </w:pPr>
      <w:r>
        <w:rPr>
          <w:rFonts w:ascii="Times New Roman" w:hAnsi="Times New Roman" w:cs="Times New Roman"/>
          <w:bCs/>
          <w:color w:val="000000" w:themeColor="text1"/>
          <w:kern w:val="2"/>
          <w:szCs w:val="24"/>
        </w:rPr>
        <w:t>2</w:t>
      </w:r>
      <w:r>
        <w:rPr>
          <w:rFonts w:hint="default" w:ascii="Times New Roman" w:hAnsi="Times New Roman" w:cs="Times New Roman"/>
          <w:bCs/>
          <w:color w:val="000000" w:themeColor="text1"/>
          <w:kern w:val="2"/>
          <w:szCs w:val="24"/>
        </w:rPr>
        <w:t>、真实性承诺书</w:t>
      </w:r>
    </w:p>
    <w:p>
      <w:pPr>
        <w:pStyle w:val="2"/>
        <w:spacing w:line="360" w:lineRule="auto"/>
        <w:rPr>
          <w:rFonts w:hint="default" w:ascii="Times New Roman" w:hAnsi="Times New Roman" w:cs="Times New Roman"/>
          <w:bCs/>
          <w:color w:val="000000" w:themeColor="text1"/>
          <w:kern w:val="2"/>
          <w:szCs w:val="24"/>
        </w:rPr>
      </w:pPr>
      <w:r>
        <w:rPr>
          <w:rFonts w:ascii="Times New Roman" w:hAnsi="Times New Roman" w:cs="Times New Roman"/>
          <w:bCs/>
          <w:color w:val="000000" w:themeColor="text1"/>
          <w:kern w:val="2"/>
          <w:szCs w:val="24"/>
        </w:rPr>
        <w:t>3、环评批复文件</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4、废矿物油处理协议</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5、固废产生量一览表</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6、主要环保投资一览表</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7、生产设备一览表</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8、原辅材料使用量表</w:t>
      </w:r>
    </w:p>
    <w:p>
      <w:pPr>
        <w:pStyle w:val="2"/>
        <w:spacing w:line="360" w:lineRule="auto"/>
        <w:rPr>
          <w:rFonts w:hint="default" w:ascii="Times New Roman" w:hAnsi="Times New Roman" w:cs="Times New Roman"/>
          <w:bCs/>
          <w:color w:val="000000" w:themeColor="text1"/>
          <w:kern w:val="2"/>
          <w:szCs w:val="24"/>
        </w:rPr>
      </w:pPr>
      <w:r>
        <w:rPr>
          <w:rFonts w:ascii="Times New Roman" w:hAnsi="Times New Roman" w:cs="Times New Roman"/>
          <w:bCs/>
          <w:color w:val="000000" w:themeColor="text1"/>
          <w:kern w:val="2"/>
          <w:szCs w:val="24"/>
        </w:rPr>
        <w:t>9</w:t>
      </w:r>
      <w:r>
        <w:rPr>
          <w:rFonts w:hint="default" w:ascii="Times New Roman" w:hAnsi="Times New Roman" w:cs="Times New Roman"/>
          <w:bCs/>
          <w:color w:val="000000" w:themeColor="text1"/>
          <w:kern w:val="2"/>
          <w:szCs w:val="24"/>
        </w:rPr>
        <w:t>、环境监测计划</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1</w:t>
      </w:r>
      <w:r>
        <w:rPr>
          <w:rFonts w:ascii="Times New Roman" w:hAnsi="Times New Roman" w:cs="Times New Roman"/>
          <w:bCs/>
          <w:color w:val="000000" w:themeColor="text1"/>
          <w:kern w:val="2"/>
          <w:szCs w:val="24"/>
        </w:rPr>
        <w:t>0</w:t>
      </w:r>
      <w:r>
        <w:rPr>
          <w:rFonts w:hint="default" w:ascii="Times New Roman" w:hAnsi="Times New Roman" w:cs="Times New Roman"/>
          <w:bCs/>
          <w:color w:val="000000" w:themeColor="text1"/>
          <w:kern w:val="2"/>
          <w:szCs w:val="24"/>
        </w:rPr>
        <w:t>、环境管理制度</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1</w:t>
      </w:r>
      <w:r>
        <w:rPr>
          <w:rFonts w:ascii="Times New Roman" w:hAnsi="Times New Roman" w:cs="Times New Roman"/>
          <w:bCs/>
          <w:color w:val="000000" w:themeColor="text1"/>
          <w:kern w:val="2"/>
          <w:szCs w:val="24"/>
        </w:rPr>
        <w:t>1</w:t>
      </w:r>
      <w:r>
        <w:rPr>
          <w:rFonts w:hint="default" w:ascii="Times New Roman" w:hAnsi="Times New Roman" w:cs="Times New Roman"/>
          <w:bCs/>
          <w:color w:val="000000" w:themeColor="text1"/>
          <w:kern w:val="2"/>
          <w:szCs w:val="24"/>
        </w:rPr>
        <w:t>、</w:t>
      </w:r>
      <w:r>
        <w:rPr>
          <w:rFonts w:ascii="Times New Roman" w:hAnsi="Times New Roman" w:cs="Times New Roman"/>
          <w:bCs/>
          <w:color w:val="000000" w:themeColor="text1"/>
          <w:kern w:val="2"/>
          <w:szCs w:val="24"/>
        </w:rPr>
        <w:t>用水情况说明</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1</w:t>
      </w:r>
      <w:r>
        <w:rPr>
          <w:rFonts w:ascii="Times New Roman" w:hAnsi="Times New Roman" w:cs="Times New Roman"/>
          <w:bCs/>
          <w:color w:val="000000" w:themeColor="text1"/>
          <w:kern w:val="2"/>
          <w:szCs w:val="24"/>
        </w:rPr>
        <w:t>2</w:t>
      </w:r>
      <w:r>
        <w:rPr>
          <w:rFonts w:hint="default" w:ascii="Times New Roman" w:hAnsi="Times New Roman" w:cs="Times New Roman"/>
          <w:bCs/>
          <w:color w:val="auto"/>
          <w:kern w:val="2"/>
          <w:szCs w:val="24"/>
        </w:rPr>
        <w:t>、</w:t>
      </w:r>
      <w:r>
        <w:rPr>
          <w:rFonts w:ascii="Times New Roman" w:hAnsi="Times New Roman" w:cs="Times New Roman"/>
          <w:bCs/>
          <w:color w:val="auto"/>
          <w:kern w:val="2"/>
          <w:szCs w:val="24"/>
        </w:rPr>
        <w:t>排水证明</w:t>
      </w:r>
    </w:p>
    <w:p>
      <w:pPr>
        <w:pStyle w:val="2"/>
        <w:spacing w:line="360" w:lineRule="auto"/>
        <w:rPr>
          <w:rFonts w:hint="default" w:ascii="Times New Roman" w:hAnsi="Times New Roman" w:cs="Times New Roman"/>
          <w:bCs/>
          <w:color w:val="000000" w:themeColor="text1"/>
          <w:kern w:val="2"/>
          <w:szCs w:val="24"/>
        </w:rPr>
      </w:pPr>
      <w:r>
        <w:rPr>
          <w:rFonts w:hint="default" w:ascii="Times New Roman" w:hAnsi="Times New Roman" w:cs="Times New Roman"/>
          <w:bCs/>
          <w:color w:val="000000" w:themeColor="text1"/>
          <w:kern w:val="2"/>
          <w:szCs w:val="24"/>
        </w:rPr>
        <w:t>1</w:t>
      </w:r>
      <w:r>
        <w:rPr>
          <w:rFonts w:ascii="Times New Roman" w:hAnsi="Times New Roman" w:cs="Times New Roman"/>
          <w:bCs/>
          <w:color w:val="000000" w:themeColor="text1"/>
          <w:kern w:val="2"/>
          <w:szCs w:val="24"/>
        </w:rPr>
        <w:t>3</w:t>
      </w:r>
      <w:r>
        <w:rPr>
          <w:rFonts w:hint="default" w:ascii="Times New Roman" w:hAnsi="Times New Roman" w:cs="Times New Roman"/>
          <w:bCs/>
          <w:color w:val="000000" w:themeColor="text1"/>
          <w:kern w:val="2"/>
          <w:szCs w:val="24"/>
        </w:rPr>
        <w:t>、工况表</w:t>
      </w:r>
      <w:bookmarkStart w:id="0" w:name="_Toc25348"/>
      <w:bookmarkStart w:id="1" w:name="_Toc453668233"/>
    </w:p>
    <w:p>
      <w:pPr>
        <w:pStyle w:val="2"/>
        <w:spacing w:line="360" w:lineRule="auto"/>
        <w:rPr>
          <w:rFonts w:hint="default" w:ascii="Times New Roman" w:hAnsi="Times New Roman" w:cs="Times New Roman"/>
          <w:bCs/>
          <w:color w:val="000000" w:themeColor="text1"/>
          <w:kern w:val="2"/>
          <w:szCs w:val="24"/>
        </w:rPr>
      </w:pPr>
      <w:r>
        <w:rPr>
          <w:rFonts w:ascii="Times New Roman" w:hAnsi="Times New Roman" w:cs="Times New Roman"/>
          <w:bCs/>
          <w:color w:val="000000" w:themeColor="text1"/>
          <w:kern w:val="2"/>
          <w:szCs w:val="24"/>
        </w:rPr>
        <w:t>14、检测报告</w:t>
      </w:r>
    </w:p>
    <w:p>
      <w:pPr>
        <w:rPr>
          <w:rFonts w:ascii="Times New Roman" w:hAnsi="Times New Roman" w:cs="Times New Roman" w:eastAsiaTheme="majorEastAsia"/>
          <w:b/>
          <w:bCs/>
          <w:sz w:val="32"/>
          <w:szCs w:val="32"/>
        </w:rPr>
      </w:pPr>
      <w:r>
        <w:rPr>
          <w:rFonts w:ascii="Times New Roman" w:hAnsi="Times New Roman" w:cs="Times New Roman" w:eastAsiaTheme="majorEastAsia"/>
          <w:b/>
          <w:bCs/>
          <w:sz w:val="32"/>
          <w:szCs w:val="32"/>
        </w:rPr>
        <w:br w:type="page"/>
      </w:r>
    </w:p>
    <w:p>
      <w:pPr>
        <w:pStyle w:val="8"/>
        <w:rPr>
          <w:rFonts w:ascii="Times New Roman" w:hAnsi="Times New Roman" w:cs="Times New Roman" w:eastAsiaTheme="majorEastAsia"/>
          <w:b/>
          <w:bCs/>
          <w:sz w:val="32"/>
          <w:szCs w:val="32"/>
        </w:rPr>
        <w:sectPr>
          <w:pgSz w:w="11906" w:h="16838"/>
          <w:pgMar w:top="1440" w:right="1800" w:bottom="1440" w:left="1800" w:header="851" w:footer="992" w:gutter="0"/>
          <w:cols w:space="425" w:num="1"/>
          <w:docGrid w:type="lines" w:linePitch="312" w:charSpace="0"/>
        </w:sectPr>
      </w:pPr>
    </w:p>
    <w:p>
      <w:pPr>
        <w:jc w:val="center"/>
        <w:outlineLvl w:val="0"/>
        <w:rPr>
          <w:rFonts w:ascii="Times New Roman" w:hAnsi="Times New Roman" w:cs="Times New Roman" w:eastAsiaTheme="majorEastAsia"/>
          <w:b/>
          <w:bCs/>
          <w:sz w:val="28"/>
          <w:szCs w:val="28"/>
        </w:rPr>
      </w:pPr>
      <w:r>
        <w:rPr>
          <w:rFonts w:ascii="Times New Roman" w:hAnsi="Times New Roman" w:cs="Times New Roman" w:eastAsiaTheme="majorEastAsia"/>
          <w:b/>
          <w:bCs/>
          <w:sz w:val="28"/>
          <w:szCs w:val="28"/>
        </w:rPr>
        <w:t>表一</w:t>
      </w:r>
      <w:bookmarkEnd w:id="0"/>
      <w:bookmarkEnd w:id="1"/>
      <w:r>
        <w:rPr>
          <w:rFonts w:ascii="Times New Roman" w:hAnsi="Times New Roman" w:cs="Times New Roman" w:eastAsiaTheme="majorEastAsia"/>
          <w:b/>
          <w:bCs/>
          <w:sz w:val="28"/>
          <w:szCs w:val="28"/>
        </w:rPr>
        <w:t>建设项目概况</w:t>
      </w:r>
    </w:p>
    <w:tbl>
      <w:tblPr>
        <w:tblStyle w:val="16"/>
        <w:tblW w:w="88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31"/>
        <w:gridCol w:w="2434"/>
        <w:gridCol w:w="1554"/>
        <w:gridCol w:w="1228"/>
        <w:gridCol w:w="678"/>
        <w:gridCol w:w="9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4"/>
              </w:rPr>
            </w:pPr>
            <w:r>
              <w:rPr>
                <w:rFonts w:ascii="Times New Roman" w:hAnsi="Times New Roman" w:cs="Times New Roman"/>
                <w:b/>
                <w:bCs/>
                <w:color w:val="000000"/>
                <w:sz w:val="24"/>
              </w:rPr>
              <w:t>建设项目名称</w:t>
            </w:r>
          </w:p>
        </w:tc>
        <w:tc>
          <w:tcPr>
            <w:tcW w:w="688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rPr>
            </w:pPr>
            <w:r>
              <w:rPr>
                <w:rFonts w:ascii="Times New Roman" w:hAnsi="Times New Roman" w:cs="Times New Roman" w:eastAsiaTheme="minorEastAsia"/>
                <w:sz w:val="24"/>
              </w:rPr>
              <w:t>咸宁一汽丰田4S店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4"/>
              </w:rPr>
            </w:pPr>
            <w:r>
              <w:rPr>
                <w:rFonts w:ascii="Times New Roman" w:hAnsi="Times New Roman" w:cs="Times New Roman"/>
                <w:b/>
                <w:bCs/>
                <w:color w:val="000000"/>
                <w:sz w:val="24"/>
              </w:rPr>
              <w:t>建设单位名称</w:t>
            </w:r>
          </w:p>
        </w:tc>
        <w:tc>
          <w:tcPr>
            <w:tcW w:w="688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rPr>
            </w:pPr>
            <w:r>
              <w:rPr>
                <w:rFonts w:ascii="Times New Roman" w:hAnsi="Times New Roman" w:cs="Times New Roman"/>
                <w:sz w:val="24"/>
              </w:rPr>
              <w:t>咸宁黄浦丰田汽车销售服务有限公司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4"/>
              </w:rPr>
            </w:pPr>
            <w:r>
              <w:rPr>
                <w:rFonts w:ascii="Times New Roman" w:hAnsi="Times New Roman" w:cs="Times New Roman"/>
                <w:b/>
                <w:bCs/>
                <w:color w:val="000000"/>
                <w:sz w:val="24"/>
              </w:rPr>
              <w:t>建设项目性质</w:t>
            </w:r>
          </w:p>
        </w:tc>
        <w:tc>
          <w:tcPr>
            <w:tcW w:w="688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rPr>
            </w:pPr>
            <w:r>
              <w:rPr>
                <w:rFonts w:ascii="Times New Roman" w:hAnsi="Times New Roman" w:cs="Times New Roman"/>
                <w:color w:val="000000" w:themeColor="text1"/>
                <w:sz w:val="24"/>
              </w:rPr>
              <w:t>新建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4"/>
              </w:rPr>
            </w:pPr>
            <w:r>
              <w:rPr>
                <w:rFonts w:ascii="Times New Roman" w:hAnsi="Times New Roman" w:cs="Times New Roman"/>
                <w:b/>
                <w:bCs/>
                <w:color w:val="000000" w:themeColor="text1"/>
                <w:sz w:val="24"/>
              </w:rPr>
              <w:t>建设地点</w:t>
            </w:r>
          </w:p>
        </w:tc>
        <w:tc>
          <w:tcPr>
            <w:tcW w:w="6889" w:type="dxa"/>
            <w:gridSpan w:val="5"/>
            <w:tcBorders>
              <w:top w:val="single" w:color="auto" w:sz="4" w:space="0"/>
              <w:left w:val="single" w:color="auto" w:sz="4" w:space="0"/>
              <w:bottom w:val="single" w:color="auto" w:sz="4" w:space="0"/>
              <w:right w:val="single" w:color="auto" w:sz="4" w:space="0"/>
            </w:tcBorders>
            <w:vAlign w:val="center"/>
          </w:tcPr>
          <w:p>
            <w:pPr>
              <w:widowControl/>
              <w:ind w:firstLine="1440" w:firstLineChars="600"/>
              <w:jc w:val="left"/>
              <w:rPr>
                <w:rFonts w:ascii="Times New Roman" w:hAnsi="Times New Roman" w:cs="Times New Roman"/>
                <w:color w:val="000000" w:themeColor="text1"/>
                <w:sz w:val="24"/>
              </w:rPr>
            </w:pPr>
            <w:r>
              <w:rPr>
                <w:rFonts w:ascii="Times New Roman" w:hAnsi="Times New Roman" w:cs="Times New Roman"/>
                <w:color w:val="000000"/>
                <w:kern w:val="0"/>
                <w:sz w:val="24"/>
              </w:rPr>
              <w:t>咸宁市咸安经济开发区咸潘公路旁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4"/>
              </w:rPr>
            </w:pPr>
            <w:r>
              <w:rPr>
                <w:rFonts w:ascii="Times New Roman" w:hAnsi="Times New Roman" w:cs="Times New Roman"/>
                <w:b/>
                <w:bCs/>
                <w:color w:val="000000"/>
                <w:sz w:val="24"/>
              </w:rPr>
              <w:t>主要产品名称</w:t>
            </w:r>
          </w:p>
        </w:tc>
        <w:tc>
          <w:tcPr>
            <w:tcW w:w="688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2"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4"/>
              </w:rPr>
            </w:pPr>
            <w:r>
              <w:rPr>
                <w:rFonts w:ascii="Times New Roman" w:hAnsi="Times New Roman" w:cs="Times New Roman"/>
                <w:b/>
                <w:bCs/>
                <w:color w:val="000000"/>
                <w:sz w:val="24"/>
              </w:rPr>
              <w:t>建设项目环评时间</w:t>
            </w:r>
          </w:p>
        </w:tc>
        <w:tc>
          <w:tcPr>
            <w:tcW w:w="24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color w:val="000000"/>
                <w:sz w:val="24"/>
              </w:rPr>
              <w:t>2019年12月</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开工建设时间</w:t>
            </w:r>
          </w:p>
        </w:tc>
        <w:tc>
          <w:tcPr>
            <w:tcW w:w="29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rPr>
            </w:pPr>
            <w:r>
              <w:rPr>
                <w:rFonts w:hint="eastAsia" w:ascii="Times New Roman" w:hAnsi="Times New Roman" w:cs="Times New Roman"/>
                <w:sz w:val="24"/>
              </w:rPr>
              <w:t>2011年10月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7"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调试时间</w:t>
            </w:r>
          </w:p>
        </w:tc>
        <w:tc>
          <w:tcPr>
            <w:tcW w:w="24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color w:val="000000"/>
                <w:sz w:val="24"/>
              </w:rPr>
              <w:t>2020年</w:t>
            </w:r>
            <w:r>
              <w:rPr>
                <w:rFonts w:hint="eastAsia" w:ascii="Times New Roman" w:hAnsi="Times New Roman" w:cs="Times New Roman"/>
                <w:color w:val="000000"/>
                <w:sz w:val="24"/>
                <w:lang w:val="en-US" w:eastAsia="zh-CN"/>
              </w:rPr>
              <w:t>1</w:t>
            </w:r>
            <w:r>
              <w:rPr>
                <w:rFonts w:ascii="Times New Roman" w:hAnsi="Times New Roman" w:cs="Times New Roman"/>
                <w:color w:val="000000"/>
                <w:sz w:val="24"/>
              </w:rPr>
              <w:t>月-2020年</w:t>
            </w:r>
            <w:r>
              <w:rPr>
                <w:rFonts w:hint="eastAsia" w:ascii="Times New Roman" w:hAnsi="Times New Roman" w:cs="Times New Roman"/>
                <w:color w:val="000000"/>
                <w:sz w:val="24"/>
                <w:lang w:val="en-US" w:eastAsia="zh-CN"/>
              </w:rPr>
              <w:t>6</w:t>
            </w:r>
            <w:r>
              <w:rPr>
                <w:rFonts w:ascii="Times New Roman" w:hAnsi="Times New Roman" w:cs="Times New Roman"/>
                <w:color w:val="000000"/>
                <w:sz w:val="24"/>
              </w:rPr>
              <w:t>月</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验收现场监测时间</w:t>
            </w:r>
          </w:p>
        </w:tc>
        <w:tc>
          <w:tcPr>
            <w:tcW w:w="29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2020年5月17日-5月18日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37"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环评报告表</w:t>
            </w:r>
          </w:p>
          <w:p>
            <w:pPr>
              <w:jc w:val="center"/>
              <w:rPr>
                <w:rFonts w:ascii="Times New Roman" w:hAnsi="Times New Roman" w:cs="Times New Roman"/>
                <w:b/>
                <w:bCs/>
                <w:color w:val="000000"/>
                <w:sz w:val="24"/>
              </w:rPr>
            </w:pPr>
            <w:r>
              <w:rPr>
                <w:rFonts w:ascii="Times New Roman" w:hAnsi="Times New Roman" w:cs="Times New Roman"/>
                <w:b/>
                <w:bCs/>
                <w:color w:val="000000"/>
                <w:sz w:val="24"/>
              </w:rPr>
              <w:t>审批部门</w:t>
            </w:r>
          </w:p>
        </w:tc>
        <w:tc>
          <w:tcPr>
            <w:tcW w:w="24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color w:val="000000"/>
                <w:sz w:val="24"/>
              </w:rPr>
              <w:t>咸宁市生态环境局咸安区分局</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环评报告表</w:t>
            </w:r>
          </w:p>
          <w:p>
            <w:pPr>
              <w:jc w:val="center"/>
              <w:rPr>
                <w:rFonts w:ascii="Times New Roman" w:hAnsi="Times New Roman" w:cs="Times New Roman"/>
                <w:b/>
                <w:bCs/>
                <w:color w:val="000000"/>
                <w:sz w:val="24"/>
              </w:rPr>
            </w:pPr>
            <w:r>
              <w:rPr>
                <w:rFonts w:ascii="Times New Roman" w:hAnsi="Times New Roman" w:cs="Times New Roman"/>
                <w:b/>
                <w:bCs/>
                <w:color w:val="000000"/>
                <w:sz w:val="24"/>
              </w:rPr>
              <w:t>编制单位</w:t>
            </w:r>
          </w:p>
        </w:tc>
        <w:tc>
          <w:tcPr>
            <w:tcW w:w="29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eastAsiaTheme="minorEastAsia"/>
                <w:sz w:val="24"/>
              </w:rPr>
              <w:t>湖北楚天焕鑫环境工程有限公司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0"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环保设施设计单位</w:t>
            </w:r>
          </w:p>
        </w:tc>
        <w:tc>
          <w:tcPr>
            <w:tcW w:w="24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hint="eastAsia" w:ascii="Times New Roman" w:hAnsi="Times New Roman" w:cs="Times New Roman"/>
                <w:color w:val="000000"/>
                <w:sz w:val="24"/>
              </w:rPr>
              <w:t>咸宁市永昌机电有限公司</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环保设施施工单位</w:t>
            </w:r>
          </w:p>
        </w:tc>
        <w:tc>
          <w:tcPr>
            <w:tcW w:w="29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hint="eastAsia" w:ascii="Times New Roman" w:hAnsi="Times New Roman" w:cs="Times New Roman"/>
                <w:color w:val="000000"/>
                <w:sz w:val="24"/>
              </w:rPr>
              <w:t>咸宁市永昌机电有限公司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0"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投资总概算</w:t>
            </w:r>
          </w:p>
        </w:tc>
        <w:tc>
          <w:tcPr>
            <w:tcW w:w="24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color w:val="000000"/>
                <w:sz w:val="24"/>
              </w:rPr>
              <w:t>1000万元</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环保工程投资总概算</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color w:val="000000"/>
                <w:sz w:val="24"/>
              </w:rPr>
              <w:t>50万元</w:t>
            </w:r>
          </w:p>
        </w:tc>
        <w:tc>
          <w:tcPr>
            <w:tcW w:w="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color w:val="000000"/>
                <w:sz w:val="24"/>
              </w:rPr>
              <w:t>比例</w:t>
            </w:r>
          </w:p>
        </w:tc>
        <w:tc>
          <w:tcPr>
            <w:tcW w:w="9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color w:val="000000"/>
                <w:sz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8"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实际总投资</w:t>
            </w:r>
          </w:p>
        </w:tc>
        <w:tc>
          <w:tcPr>
            <w:tcW w:w="24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hint="eastAsia" w:ascii="Times New Roman" w:hAnsi="Times New Roman" w:cs="Times New Roman"/>
                <w:color w:val="000000"/>
                <w:sz w:val="24"/>
              </w:rPr>
              <w:t>1000</w:t>
            </w:r>
            <w:r>
              <w:rPr>
                <w:rFonts w:ascii="Times New Roman" w:hAnsi="Times New Roman" w:cs="Times New Roman"/>
                <w:color w:val="000000"/>
                <w:sz w:val="24"/>
              </w:rPr>
              <w:t>万元</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sz w:val="24"/>
              </w:rPr>
            </w:pPr>
            <w:r>
              <w:rPr>
                <w:rFonts w:ascii="Times New Roman" w:hAnsi="Times New Roman" w:cs="Times New Roman"/>
                <w:b/>
                <w:bCs/>
                <w:color w:val="000000"/>
                <w:sz w:val="24"/>
              </w:rPr>
              <w:t>实际环保投资</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hint="eastAsia" w:ascii="Times New Roman" w:hAnsi="Times New Roman" w:cs="Times New Roman"/>
                <w:color w:val="000000"/>
                <w:sz w:val="24"/>
              </w:rPr>
              <w:t>32</w:t>
            </w:r>
            <w:r>
              <w:rPr>
                <w:rFonts w:ascii="Times New Roman" w:hAnsi="Times New Roman" w:cs="Times New Roman"/>
                <w:color w:val="000000"/>
                <w:sz w:val="24"/>
              </w:rPr>
              <w:t>万元</w:t>
            </w:r>
          </w:p>
        </w:tc>
        <w:tc>
          <w:tcPr>
            <w:tcW w:w="67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ascii="Times New Roman" w:hAnsi="Times New Roman" w:cs="Times New Roman"/>
                <w:color w:val="000000"/>
                <w:sz w:val="24"/>
              </w:rPr>
              <w:t>比例</w:t>
            </w:r>
          </w:p>
        </w:tc>
        <w:tc>
          <w:tcPr>
            <w:tcW w:w="9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4"/>
              </w:rPr>
            </w:pPr>
            <w:r>
              <w:rPr>
                <w:rFonts w:hint="eastAsia" w:ascii="Times New Roman" w:hAnsi="Times New Roman" w:cs="Times New Roman"/>
                <w:color w:val="000000"/>
                <w:sz w:val="24"/>
              </w:rPr>
              <w:t>3.2</w:t>
            </w:r>
            <w:r>
              <w:rPr>
                <w:rFonts w:ascii="Times New Roman" w:hAnsi="Times New Roman"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6"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 w:val="24"/>
              </w:rPr>
            </w:pPr>
            <w:r>
              <w:rPr>
                <w:rFonts w:ascii="Times New Roman" w:hAnsi="Times New Roman" w:cs="Times New Roman"/>
                <w:b/>
                <w:sz w:val="24"/>
              </w:rPr>
              <w:t>主要建设内容</w:t>
            </w:r>
          </w:p>
          <w:p>
            <w:pPr>
              <w:jc w:val="center"/>
              <w:rPr>
                <w:rFonts w:ascii="Times New Roman" w:hAnsi="Times New Roman" w:cs="Times New Roman"/>
                <w:b/>
                <w:sz w:val="24"/>
              </w:rPr>
            </w:pPr>
            <w:r>
              <w:rPr>
                <w:rFonts w:ascii="Times New Roman" w:hAnsi="Times New Roman" w:cs="Times New Roman"/>
                <w:b/>
                <w:sz w:val="24"/>
              </w:rPr>
              <w:t>设计</w:t>
            </w:r>
            <w:r>
              <w:rPr>
                <w:rFonts w:hint="eastAsia" w:ascii="Times New Roman" w:hAnsi="Times New Roman" w:cs="Times New Roman"/>
                <w:b/>
                <w:sz w:val="24"/>
                <w:lang w:eastAsia="zh-CN"/>
              </w:rPr>
              <w:t>销售和维修保养</w:t>
            </w:r>
            <w:r>
              <w:rPr>
                <w:rFonts w:ascii="Times New Roman" w:hAnsi="Times New Roman" w:cs="Times New Roman"/>
                <w:b/>
                <w:sz w:val="24"/>
              </w:rPr>
              <w:t>能力</w:t>
            </w:r>
          </w:p>
          <w:p>
            <w:pPr>
              <w:jc w:val="center"/>
              <w:rPr>
                <w:rFonts w:ascii="Times New Roman" w:hAnsi="Times New Roman" w:cs="Times New Roman"/>
                <w:b/>
                <w:szCs w:val="21"/>
              </w:rPr>
            </w:pPr>
            <w:r>
              <w:rPr>
                <w:rFonts w:ascii="Times New Roman" w:hAnsi="Times New Roman" w:cs="Times New Roman"/>
                <w:b/>
                <w:sz w:val="24"/>
              </w:rPr>
              <w:t>实际</w:t>
            </w:r>
            <w:r>
              <w:rPr>
                <w:rFonts w:hint="eastAsia" w:ascii="Times New Roman" w:hAnsi="Times New Roman" w:cs="Times New Roman"/>
                <w:b/>
                <w:sz w:val="24"/>
                <w:lang w:eastAsia="zh-CN"/>
              </w:rPr>
              <w:t>销售和维修保养</w:t>
            </w:r>
            <w:r>
              <w:rPr>
                <w:rFonts w:ascii="Times New Roman" w:hAnsi="Times New Roman" w:cs="Times New Roman"/>
                <w:b/>
                <w:sz w:val="24"/>
              </w:rPr>
              <w:t>能力</w:t>
            </w:r>
          </w:p>
        </w:tc>
        <w:tc>
          <w:tcPr>
            <w:tcW w:w="6889" w:type="dxa"/>
            <w:gridSpan w:val="5"/>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Times New Roman" w:hAnsi="Times New Roman" w:cs="Times New Roman" w:eastAsiaTheme="minorEastAsia"/>
                <w:sz w:val="24"/>
              </w:rPr>
            </w:pPr>
            <w:r>
              <w:rPr>
                <w:rFonts w:ascii="Times New Roman" w:hAnsi="Times New Roman" w:cs="Times New Roman" w:eastAsiaTheme="minorEastAsia"/>
                <w:sz w:val="24"/>
              </w:rPr>
              <w:t>环评规划</w:t>
            </w:r>
            <w:r>
              <w:rPr>
                <w:rFonts w:ascii="Times New Roman" w:hAnsi="Times New Roman" w:cs="Times New Roman" w:eastAsiaTheme="minorEastAsia"/>
                <w:color w:val="000000" w:themeColor="text1"/>
                <w:sz w:val="24"/>
              </w:rPr>
              <w:t>建设内容</w:t>
            </w:r>
            <w:r>
              <w:rPr>
                <w:rFonts w:ascii="Times New Roman" w:hAnsi="Times New Roman" w:cs="Times New Roman" w:eastAsiaTheme="minorEastAsia"/>
                <w:sz w:val="24"/>
              </w:rPr>
              <w:t>：该项目位</w:t>
            </w:r>
            <w:r>
              <w:rPr>
                <w:rFonts w:ascii="Times New Roman" w:hAnsi="Times New Roman" w:cs="Times New Roman"/>
                <w:color w:val="000000"/>
                <w:kern w:val="0"/>
                <w:sz w:val="24"/>
              </w:rPr>
              <w:t>于咸宁市咸安经济开发区咸潘公路旁</w:t>
            </w:r>
            <w:r>
              <w:rPr>
                <w:rFonts w:ascii="Times New Roman" w:hAnsi="Times New Roman" w:cs="Times New Roman" w:eastAsiaTheme="minorEastAsia"/>
                <w:sz w:val="24"/>
              </w:rPr>
              <w:t>，占地面积10000m</w:t>
            </w:r>
            <w:r>
              <w:rPr>
                <w:rFonts w:ascii="Times New Roman" w:hAnsi="Times New Roman" w:cs="Times New Roman" w:eastAsiaTheme="minorEastAsia"/>
                <w:sz w:val="24"/>
                <w:vertAlign w:val="superscript"/>
              </w:rPr>
              <w:t>2</w:t>
            </w:r>
            <w:r>
              <w:rPr>
                <w:rFonts w:ascii="Times New Roman" w:hAnsi="Times New Roman" w:cs="Times New Roman" w:eastAsiaTheme="minorEastAsia"/>
                <w:sz w:val="24"/>
              </w:rPr>
              <w:t>，建设面积2600m</w:t>
            </w:r>
            <w:r>
              <w:rPr>
                <w:rFonts w:ascii="Times New Roman" w:hAnsi="Times New Roman" w:cs="Times New Roman" w:eastAsiaTheme="minorEastAsia"/>
                <w:sz w:val="24"/>
                <w:vertAlign w:val="superscript"/>
              </w:rPr>
              <w:t>2</w:t>
            </w:r>
            <w:r>
              <w:rPr>
                <w:rFonts w:ascii="Times New Roman" w:hAnsi="Times New Roman" w:cs="Times New Roman" w:eastAsiaTheme="minorEastAsia"/>
                <w:sz w:val="24"/>
              </w:rPr>
              <w:t>。主要建设内容有：展厅及办公室、维修车间等主体工程，配件仓库、杂件仓库等储运工程、废气、废水处理的环保工程以及相应的配套设施。</w:t>
            </w:r>
          </w:p>
          <w:p>
            <w:pPr>
              <w:ind w:firstLine="480" w:firstLineChars="200"/>
              <w:rPr>
                <w:rFonts w:ascii="Times New Roman" w:hAnsi="Times New Roman" w:cs="Times New Roman" w:eastAsiaTheme="minorEastAsia"/>
                <w:color w:val="000000" w:themeColor="text1"/>
                <w:sz w:val="24"/>
              </w:rPr>
            </w:pPr>
            <w:r>
              <w:rPr>
                <w:rFonts w:ascii="Times New Roman" w:hAnsi="Times New Roman" w:cs="Times New Roman" w:eastAsiaTheme="minorEastAsia"/>
                <w:sz w:val="24"/>
              </w:rPr>
              <w:t>实际建设内容：项目占地面积10000m</w:t>
            </w:r>
            <w:r>
              <w:rPr>
                <w:rFonts w:ascii="Times New Roman" w:hAnsi="Times New Roman" w:cs="Times New Roman" w:eastAsiaTheme="minorEastAsia"/>
                <w:sz w:val="24"/>
                <w:vertAlign w:val="superscript"/>
              </w:rPr>
              <w:t>2</w:t>
            </w:r>
            <w:r>
              <w:rPr>
                <w:rFonts w:ascii="Times New Roman" w:hAnsi="Times New Roman" w:cs="Times New Roman" w:eastAsiaTheme="minorEastAsia"/>
                <w:sz w:val="24"/>
              </w:rPr>
              <w:t>，建设面积2600m</w:t>
            </w:r>
            <w:r>
              <w:rPr>
                <w:rFonts w:ascii="Times New Roman" w:hAnsi="Times New Roman" w:cs="Times New Roman" w:eastAsiaTheme="minorEastAsia"/>
                <w:sz w:val="24"/>
                <w:vertAlign w:val="superscript"/>
              </w:rPr>
              <w:t>2</w:t>
            </w:r>
            <w:r>
              <w:rPr>
                <w:rFonts w:ascii="Times New Roman" w:hAnsi="Times New Roman" w:cs="Times New Roman" w:eastAsiaTheme="minorEastAsia"/>
                <w:sz w:val="24"/>
              </w:rPr>
              <w:t>，</w:t>
            </w:r>
            <w:r>
              <w:rPr>
                <w:rFonts w:ascii="Times New Roman" w:hAnsi="Times New Roman" w:cs="Times New Roman" w:eastAsiaTheme="minorEastAsia"/>
                <w:color w:val="000000" w:themeColor="text1"/>
                <w:sz w:val="24"/>
              </w:rPr>
              <w:t>主要建设内容有：</w:t>
            </w:r>
            <w:r>
              <w:rPr>
                <w:rFonts w:ascii="Times New Roman" w:hAnsi="Times New Roman" w:cs="Times New Roman" w:eastAsiaTheme="minorEastAsia"/>
                <w:sz w:val="24"/>
              </w:rPr>
              <w:t>展厅及办公室、维修车间、洗车房等主体工程，配件仓库、杂件仓库等储运工程以及危废暂存间、活性炭吸附装置、三级沉淀池、化粪池等环保工程。</w:t>
            </w:r>
          </w:p>
          <w:p>
            <w:pPr>
              <w:pStyle w:val="8"/>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设计</w:t>
            </w:r>
            <w:r>
              <w:rPr>
                <w:rFonts w:hint="eastAsia" w:ascii="Times New Roman" w:hAnsi="Times New Roman" w:cs="Times New Roman" w:eastAsiaTheme="minorEastAsia"/>
                <w:sz w:val="24"/>
                <w:lang w:eastAsia="zh-CN"/>
              </w:rPr>
              <w:t>销售和维修保养</w:t>
            </w:r>
            <w:r>
              <w:rPr>
                <w:rFonts w:ascii="Times New Roman" w:hAnsi="Times New Roman" w:cs="Times New Roman" w:eastAsiaTheme="minorEastAsia"/>
                <w:sz w:val="24"/>
              </w:rPr>
              <w:t>能力：年销售汽车600台、年保养维修汽车2000台。</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eastAsiaTheme="minorEastAsia"/>
                <w:szCs w:val="24"/>
              </w:rPr>
              <w:t>实际</w:t>
            </w:r>
            <w:r>
              <w:rPr>
                <w:rFonts w:hint="eastAsia" w:ascii="Times New Roman" w:hAnsi="Times New Roman" w:cs="Times New Roman" w:eastAsiaTheme="minorEastAsia"/>
                <w:szCs w:val="24"/>
                <w:lang w:eastAsia="zh-CN"/>
              </w:rPr>
              <w:t>销售和维修保养</w:t>
            </w:r>
            <w:r>
              <w:rPr>
                <w:rFonts w:hint="default" w:ascii="Times New Roman" w:hAnsi="Times New Roman" w:cs="Times New Roman" w:eastAsiaTheme="minorEastAsia"/>
                <w:szCs w:val="24"/>
              </w:rPr>
              <w:t>能力：</w:t>
            </w:r>
            <w:r>
              <w:rPr>
                <w:rFonts w:hint="default" w:ascii="Times New Roman" w:hAnsi="Times New Roman" w:cs="Times New Roman" w:eastAsiaTheme="minorEastAsia"/>
                <w:color w:val="000000" w:themeColor="text1"/>
                <w:szCs w:val="24"/>
              </w:rPr>
              <w:t>年销售汽车600台、年保养维修汽车2000台。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49"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 w:val="24"/>
              </w:rPr>
            </w:pPr>
            <w:r>
              <w:rPr>
                <w:rFonts w:ascii="Times New Roman" w:hAnsi="Times New Roman" w:cs="Times New Roman"/>
                <w:b/>
                <w:sz w:val="24"/>
              </w:rPr>
              <w:t>验收范围</w:t>
            </w:r>
          </w:p>
        </w:tc>
        <w:tc>
          <w:tcPr>
            <w:tcW w:w="6889" w:type="dxa"/>
            <w:gridSpan w:val="5"/>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default" w:ascii="Times New Roman" w:hAnsi="Times New Roman" w:cs="Times New Roman"/>
                <w:kern w:val="2"/>
                <w:szCs w:val="24"/>
              </w:rPr>
            </w:pPr>
            <w:r>
              <w:rPr>
                <w:rFonts w:hint="default" w:ascii="Times New Roman" w:hAnsi="Times New Roman" w:cs="Times New Roman" w:eastAsiaTheme="minorEastAsia"/>
              </w:rPr>
              <w:t>本次验收范围：</w:t>
            </w:r>
            <w:r>
              <w:rPr>
                <w:rFonts w:hint="eastAsia" w:ascii="Times New Roman" w:hAnsi="Times New Roman" w:cs="Times New Roman" w:eastAsiaTheme="minorEastAsia"/>
                <w:lang w:eastAsia="zh-CN"/>
              </w:rPr>
              <w:t>对咸宁一汽丰田</w:t>
            </w:r>
            <w:r>
              <w:rPr>
                <w:rFonts w:hint="eastAsia" w:ascii="Times New Roman" w:hAnsi="Times New Roman" w:cs="Times New Roman" w:eastAsiaTheme="minorEastAsia"/>
                <w:lang w:val="en-US" w:eastAsia="zh-CN"/>
              </w:rPr>
              <w:t>4S店建设项目进行验收，内容包括</w:t>
            </w:r>
            <w:r>
              <w:rPr>
                <w:rFonts w:hint="default" w:ascii="Times New Roman" w:hAnsi="Times New Roman" w:cs="Times New Roman" w:eastAsiaTheme="minorEastAsia"/>
                <w:szCs w:val="24"/>
              </w:rPr>
              <w:t>主体工程（展厅及办公室、维修车间、洗车房），储运工程（配件仓库、杂件仓库）以及危废暂存间、活性炭吸附装置、三级沉淀池、化粪池等环保工程。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3" w:hRule="exact"/>
        </w:trPr>
        <w:tc>
          <w:tcPr>
            <w:tcW w:w="19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 w:val="24"/>
              </w:rPr>
            </w:pPr>
            <w:r>
              <w:rPr>
                <w:rFonts w:ascii="Times New Roman" w:hAnsi="Times New Roman" w:cs="Times New Roman"/>
                <w:b/>
                <w:sz w:val="24"/>
              </w:rPr>
              <w:t>验收范围图</w:t>
            </w:r>
          </w:p>
        </w:tc>
        <w:tc>
          <w:tcPr>
            <w:tcW w:w="6889" w:type="dxa"/>
            <w:gridSpan w:val="5"/>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hint="default" w:ascii="Times New Roman" w:hAnsi="Times New Roman" w:cs="Times New Roman"/>
                <w:kern w:val="2"/>
                <w:szCs w:val="24"/>
              </w:rPr>
            </w:pPr>
            <w:r>
              <w:rPr>
                <w:rFonts w:hint="default" w:ascii="Times New Roman" w:hAnsi="Times New Roman" w:cs="Times New Roman"/>
              </w:rPr>
              <w:drawing>
                <wp:inline distT="0" distB="0" distL="114300" distR="114300">
                  <wp:extent cx="4236720" cy="3002915"/>
                  <wp:effectExtent l="0" t="0" r="0" b="146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4236720" cy="3002915"/>
                          </a:xfrm>
                          <a:prstGeom prst="rect">
                            <a:avLst/>
                          </a:prstGeom>
                          <a:noFill/>
                          <a:ln>
                            <a:noFill/>
                          </a:ln>
                        </pic:spPr>
                      </pic:pic>
                    </a:graphicData>
                  </a:graphic>
                </wp:inline>
              </w:drawing>
            </w:r>
          </w:p>
        </w:tc>
      </w:tr>
    </w:tbl>
    <w:p>
      <w:pPr>
        <w:rPr>
          <w:rFonts w:ascii="Times New Roman" w:hAnsi="Times New Roman" w:cs="Times New Roman" w:eastAsiaTheme="majorEastAsia"/>
          <w:b/>
          <w:bCs/>
          <w:sz w:val="32"/>
          <w:szCs w:val="32"/>
        </w:rPr>
      </w:pPr>
      <w:bookmarkStart w:id="2" w:name="_Toc16601"/>
      <w:r>
        <w:rPr>
          <w:rFonts w:ascii="Times New Roman" w:hAnsi="Times New Roman" w:cs="Times New Roman" w:eastAsiaTheme="majorEastAsia"/>
          <w:b/>
          <w:bCs/>
          <w:sz w:val="32"/>
          <w:szCs w:val="32"/>
        </w:rPr>
        <w:br w:type="page"/>
      </w:r>
    </w:p>
    <w:p>
      <w:pPr>
        <w:widowControl/>
        <w:jc w:val="center"/>
        <w:outlineLvl w:val="0"/>
        <w:rPr>
          <w:rFonts w:ascii="Times New Roman" w:hAnsi="Times New Roman" w:cs="Times New Roman" w:eastAsiaTheme="majorEastAsia"/>
          <w:b/>
          <w:bCs/>
          <w:sz w:val="28"/>
          <w:szCs w:val="28"/>
        </w:rPr>
      </w:pPr>
      <w:r>
        <w:rPr>
          <w:rFonts w:ascii="Times New Roman" w:hAnsi="Times New Roman" w:cs="Times New Roman" w:eastAsiaTheme="majorEastAsia"/>
          <w:b/>
          <w:bCs/>
          <w:sz w:val="28"/>
          <w:szCs w:val="28"/>
        </w:rPr>
        <w:t>表二 验收监测依据</w:t>
      </w:r>
      <w:bookmarkEnd w:id="2"/>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4" w:hRule="atLeast"/>
        </w:trPr>
        <w:tc>
          <w:tcPr>
            <w:tcW w:w="661" w:type="dxa"/>
            <w:vAlign w:val="center"/>
          </w:tcPr>
          <w:p>
            <w:pPr>
              <w:pStyle w:val="2"/>
              <w:jc w:val="center"/>
              <w:rPr>
                <w:rFonts w:hint="default" w:ascii="Times New Roman" w:hAnsi="Times New Roman" w:cs="Times New Roman"/>
              </w:rPr>
            </w:pPr>
            <w:r>
              <w:rPr>
                <w:rFonts w:hint="default" w:ascii="Times New Roman" w:hAnsi="Times New Roman" w:cs="Times New Roman"/>
                <w:b/>
                <w:bCs/>
              </w:rPr>
              <w:t>验收监测依据</w:t>
            </w:r>
          </w:p>
        </w:tc>
        <w:tc>
          <w:tcPr>
            <w:tcW w:w="7861" w:type="dxa"/>
          </w:tcPr>
          <w:p>
            <w:pPr>
              <w:spacing w:line="480" w:lineRule="auto"/>
              <w:rPr>
                <w:rFonts w:ascii="Times New Roman" w:hAnsi="Times New Roman" w:cs="Times New Roman"/>
                <w:sz w:val="24"/>
              </w:rPr>
            </w:pPr>
            <w:r>
              <w:rPr>
                <w:rFonts w:ascii="Times New Roman" w:hAnsi="Times New Roman" w:cs="Times New Roman"/>
                <w:sz w:val="24"/>
              </w:rPr>
              <w:t>a、《中华人民共和国环境保护法》（2015年1月1日起实施）；</w:t>
            </w:r>
          </w:p>
          <w:p>
            <w:pPr>
              <w:spacing w:line="480" w:lineRule="auto"/>
              <w:rPr>
                <w:rFonts w:ascii="Times New Roman" w:hAnsi="Times New Roman" w:cs="Times New Roman"/>
                <w:sz w:val="24"/>
              </w:rPr>
            </w:pPr>
            <w:r>
              <w:rPr>
                <w:rFonts w:ascii="Times New Roman" w:hAnsi="Times New Roman" w:cs="Times New Roman"/>
                <w:sz w:val="24"/>
              </w:rPr>
              <w:t>b、《中华人民共和国水污染防治法》（2018年1月1日起实施）；</w:t>
            </w:r>
          </w:p>
          <w:p>
            <w:pPr>
              <w:spacing w:line="480" w:lineRule="auto"/>
              <w:rPr>
                <w:rFonts w:ascii="Times New Roman" w:hAnsi="Times New Roman" w:cs="Times New Roman"/>
                <w:sz w:val="24"/>
              </w:rPr>
            </w:pPr>
            <w:r>
              <w:rPr>
                <w:rFonts w:ascii="Times New Roman" w:hAnsi="Times New Roman" w:cs="Times New Roman"/>
                <w:sz w:val="24"/>
              </w:rPr>
              <w:t>c、《中华人民共和国大气污染防治法》（2016年1月1日起实施；2018年10月26日修订）；</w:t>
            </w:r>
          </w:p>
          <w:p>
            <w:pPr>
              <w:spacing w:line="480" w:lineRule="auto"/>
              <w:rPr>
                <w:rFonts w:ascii="Times New Roman" w:hAnsi="Times New Roman" w:cs="Times New Roman"/>
                <w:sz w:val="24"/>
              </w:rPr>
            </w:pPr>
            <w:r>
              <w:rPr>
                <w:rFonts w:ascii="Times New Roman" w:hAnsi="Times New Roman" w:cs="Times New Roman"/>
                <w:sz w:val="24"/>
              </w:rPr>
              <w:t>d、《中华人民共和国噪声环境污染防治法》（1997年3月1日起实施；2018年12月29日修订）；</w:t>
            </w:r>
          </w:p>
          <w:p>
            <w:pPr>
              <w:spacing w:line="480" w:lineRule="auto"/>
              <w:jc w:val="center"/>
              <w:rPr>
                <w:rFonts w:ascii="Times New Roman" w:hAnsi="Times New Roman" w:cs="Times New Roman"/>
                <w:sz w:val="24"/>
              </w:rPr>
            </w:pPr>
            <w:r>
              <w:rPr>
                <w:rFonts w:ascii="Times New Roman" w:hAnsi="Times New Roman" w:cs="Times New Roman"/>
                <w:sz w:val="24"/>
              </w:rPr>
              <w:t>e、《中华人民共和国固体废物污染防治法》（1996年4月1日起实施；</w:t>
            </w:r>
          </w:p>
          <w:p>
            <w:pPr>
              <w:spacing w:line="480" w:lineRule="auto"/>
              <w:rPr>
                <w:rFonts w:ascii="Times New Roman" w:hAnsi="Times New Roman" w:cs="Times New Roman"/>
                <w:sz w:val="24"/>
              </w:rPr>
            </w:pPr>
            <w:r>
              <w:rPr>
                <w:rFonts w:ascii="Times New Roman" w:hAnsi="Times New Roman" w:cs="Times New Roman"/>
                <w:sz w:val="24"/>
              </w:rPr>
              <w:t>2016年11月7日修订）；</w:t>
            </w:r>
          </w:p>
          <w:p>
            <w:pPr>
              <w:spacing w:line="480" w:lineRule="auto"/>
              <w:rPr>
                <w:rFonts w:ascii="Times New Roman" w:hAnsi="Times New Roman" w:cs="Times New Roman"/>
                <w:sz w:val="24"/>
              </w:rPr>
            </w:pPr>
            <w:r>
              <w:rPr>
                <w:rFonts w:ascii="Times New Roman" w:hAnsi="Times New Roman" w:cs="Times New Roman"/>
                <w:sz w:val="24"/>
              </w:rPr>
              <w:t>f、《建设项目环境保护管理条例》（1998年11月29日中华人民共和国国务院令第253号发布、2017年7月16日国务院令第682号修改、自2017年10月1日起施行）；</w:t>
            </w:r>
          </w:p>
          <w:p>
            <w:pPr>
              <w:spacing w:line="480" w:lineRule="auto"/>
              <w:jc w:val="center"/>
              <w:rPr>
                <w:rFonts w:ascii="Times New Roman" w:hAnsi="Times New Roman" w:cs="Times New Roman"/>
                <w:sz w:val="24"/>
              </w:rPr>
            </w:pPr>
            <w:r>
              <w:rPr>
                <w:rFonts w:ascii="Times New Roman" w:hAnsi="Times New Roman" w:cs="Times New Roman"/>
                <w:sz w:val="24"/>
              </w:rPr>
              <w:t>g、《关于发布&lt;建设项目环境保护验收暂行办法&gt;的公告》（国环规环评</w:t>
            </w:r>
          </w:p>
          <w:p>
            <w:pPr>
              <w:spacing w:line="480" w:lineRule="auto"/>
              <w:rPr>
                <w:rFonts w:ascii="Times New Roman" w:hAnsi="Times New Roman" w:cs="Times New Roman"/>
                <w:sz w:val="24"/>
              </w:rPr>
            </w:pPr>
            <w:r>
              <w:rPr>
                <w:rFonts w:ascii="Times New Roman" w:hAnsi="Times New Roman" w:cs="Times New Roman"/>
                <w:sz w:val="24"/>
              </w:rPr>
              <w:t>[2017]4号）；</w:t>
            </w:r>
          </w:p>
          <w:p>
            <w:pPr>
              <w:spacing w:line="480" w:lineRule="auto"/>
              <w:rPr>
                <w:rFonts w:ascii="Times New Roman" w:hAnsi="Times New Roman" w:cs="Times New Roman"/>
                <w:sz w:val="24"/>
              </w:rPr>
            </w:pPr>
            <w:r>
              <w:rPr>
                <w:rFonts w:ascii="Times New Roman" w:hAnsi="Times New Roman" w:cs="Times New Roman"/>
                <w:sz w:val="24"/>
              </w:rPr>
              <w:t>h、《关于发布&lt;建设项目竣工环境保护验收技术指南 污染影响类&gt;的公告》（公告2018第9生态环境部2018年5月15日）；</w:t>
            </w:r>
          </w:p>
          <w:p>
            <w:pPr>
              <w:spacing w:line="480" w:lineRule="auto"/>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eastAsiaTheme="minorEastAsia"/>
                <w:sz w:val="24"/>
              </w:rPr>
              <w:t>湖北楚天焕鑫环境工程有限公司</w:t>
            </w:r>
            <w:r>
              <w:rPr>
                <w:rFonts w:ascii="Times New Roman" w:hAnsi="Times New Roman" w:cs="Times New Roman"/>
                <w:sz w:val="24"/>
              </w:rPr>
              <w:t>《咸宁黄浦丰田汽车销售服务有限公司咸宁一汽丰田4S店项目环境影响报告表》，2019年12月。</w:t>
            </w:r>
          </w:p>
          <w:p>
            <w:pPr>
              <w:pStyle w:val="8"/>
              <w:rPr>
                <w:rFonts w:ascii="Times New Roman" w:hAnsi="Times New Roman" w:cs="Times New Roman"/>
              </w:rPr>
            </w:pPr>
            <w:r>
              <w:rPr>
                <w:rFonts w:ascii="Times New Roman" w:hAnsi="Times New Roman" w:cs="Times New Roman"/>
                <w:sz w:val="24"/>
              </w:rPr>
              <w:t>J、咸宁市咸安区环境保护局批复文件：咸安环审[2020]13号——《关于咸宁黄浦丰田汽车销售服务有限公司咸宁一汽丰田4S店项目环境影响报告表审批意见的函》，2020年4月15日。</w:t>
            </w:r>
          </w:p>
          <w:p>
            <w:pPr>
              <w:rPr>
                <w:rFonts w:ascii="Times New Roman" w:hAnsi="Times New Roman" w:cs="Times New Roman"/>
              </w:rPr>
            </w:pPr>
          </w:p>
        </w:tc>
      </w:tr>
    </w:tbl>
    <w:p>
      <w:pPr>
        <w:pStyle w:val="2"/>
        <w:rPr>
          <w:rFonts w:hint="default" w:ascii="Times New Roman" w:hAnsi="Times New Roman" w:cs="Times New Roman"/>
        </w:rPr>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pPr>
    </w:p>
    <w:p>
      <w:pPr>
        <w:tabs>
          <w:tab w:val="left" w:pos="2129"/>
          <w:tab w:val="center" w:pos="4214"/>
        </w:tabs>
        <w:jc w:val="center"/>
        <w:outlineLvl w:val="0"/>
        <w:rPr>
          <w:rFonts w:ascii="Times New Roman" w:hAnsi="Times New Roman" w:cs="Times New Roman"/>
          <w:b/>
          <w:bCs/>
          <w:sz w:val="28"/>
          <w:szCs w:val="28"/>
        </w:rPr>
      </w:pPr>
      <w:bookmarkStart w:id="3" w:name="_Toc18751"/>
      <w:r>
        <w:rPr>
          <w:rFonts w:ascii="Times New Roman" w:hAnsi="Times New Roman" w:cs="Times New Roman"/>
          <w:b/>
          <w:sz w:val="28"/>
          <w:szCs w:val="28"/>
        </w:rPr>
        <w:t>表三 验收监测执行标准限值</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6" w:hRule="atLeast"/>
        </w:trPr>
        <w:tc>
          <w:tcPr>
            <w:tcW w:w="8522" w:type="dxa"/>
          </w:tcPr>
          <w:p>
            <w:pPr>
              <w:pStyle w:val="2"/>
              <w:spacing w:line="360" w:lineRule="auto"/>
              <w:rPr>
                <w:rFonts w:hint="default" w:ascii="Times New Roman" w:hAnsi="Times New Roman" w:cs="Times New Roman"/>
                <w:b/>
                <w:bCs/>
                <w:szCs w:val="24"/>
              </w:rPr>
            </w:pPr>
            <w:r>
              <w:rPr>
                <w:rFonts w:hint="default" w:ascii="Times New Roman" w:hAnsi="Times New Roman" w:cs="Times New Roman"/>
                <w:b/>
                <w:bCs/>
                <w:szCs w:val="24"/>
              </w:rPr>
              <w:t>1、废水</w:t>
            </w:r>
          </w:p>
          <w:p>
            <w:pPr>
              <w:pStyle w:val="2"/>
              <w:spacing w:line="360" w:lineRule="auto"/>
              <w:ind w:firstLine="560"/>
              <w:jc w:val="both"/>
              <w:rPr>
                <w:rFonts w:hint="default" w:ascii="Times New Roman" w:hAnsi="Times New Roman" w:cs="Times New Roman"/>
                <w:szCs w:val="24"/>
              </w:rPr>
            </w:pPr>
            <w:r>
              <w:rPr>
                <w:rFonts w:hint="default" w:ascii="Times New Roman" w:hAnsi="Times New Roman" w:cs="Times New Roman"/>
                <w:szCs w:val="24"/>
              </w:rPr>
              <w:t>本项目产生的废水主要是生活污水</w:t>
            </w:r>
            <w:r>
              <w:rPr>
                <w:rFonts w:ascii="Times New Roman" w:hAnsi="Times New Roman" w:cs="Times New Roman"/>
                <w:szCs w:val="24"/>
              </w:rPr>
              <w:t>、</w:t>
            </w:r>
            <w:r>
              <w:rPr>
                <w:rFonts w:hint="default" w:ascii="Times New Roman" w:hAnsi="Times New Roman" w:cs="Times New Roman"/>
                <w:szCs w:val="24"/>
              </w:rPr>
              <w:t>洗车废水</w:t>
            </w:r>
            <w:r>
              <w:rPr>
                <w:rFonts w:ascii="Times New Roman" w:hAnsi="Times New Roman" w:cs="Times New Roman"/>
                <w:szCs w:val="24"/>
              </w:rPr>
              <w:t>和车间清洗废水</w:t>
            </w:r>
            <w:r>
              <w:rPr>
                <w:rFonts w:hint="default" w:ascii="Times New Roman" w:hAnsi="Times New Roman" w:cs="Times New Roman"/>
                <w:szCs w:val="24"/>
              </w:rPr>
              <w:t>，</w:t>
            </w:r>
            <w:r>
              <w:rPr>
                <w:rFonts w:hint="default" w:ascii="Times New Roman" w:hAnsi="Times New Roman" w:cs="Times New Roman"/>
                <w:kern w:val="2"/>
                <w:szCs w:val="24"/>
              </w:rPr>
              <w:t>项目车间清洗拖把废水用桶运至洗车房和洗车废水一起经三级沉淀池处理后</w:t>
            </w:r>
            <w:r>
              <w:rPr>
                <w:rFonts w:hint="default" w:ascii="Times New Roman" w:hAnsi="Times New Roman" w:cs="Times New Roman"/>
                <w:szCs w:val="24"/>
              </w:rPr>
              <w:t>与生活污水一起经化粪池处理</w:t>
            </w:r>
            <w:r>
              <w:rPr>
                <w:rFonts w:ascii="Times New Roman" w:hAnsi="Times New Roman" w:cs="Times New Roman"/>
                <w:szCs w:val="24"/>
              </w:rPr>
              <w:t>，处理之后排入市政污水管网，再进入咸安经济开发区污水处理厂处理。</w:t>
            </w:r>
            <w:r>
              <w:rPr>
                <w:rFonts w:hint="default" w:ascii="Times New Roman" w:hAnsi="Times New Roman" w:cs="Times New Roman"/>
                <w:szCs w:val="24"/>
              </w:rPr>
              <w:t>外排废水达到</w:t>
            </w:r>
            <w:r>
              <w:rPr>
                <w:rFonts w:hint="default" w:ascii="Times New Roman" w:hAnsi="Times New Roman" w:cs="Times New Roman"/>
                <w:szCs w:val="21"/>
              </w:rPr>
              <w:t>《汽车维修业水污染物排放标准》（GB26877-2011）表2中的间接排放限值和咸安经济开发区污水处理厂接管标准</w:t>
            </w:r>
            <w:r>
              <w:rPr>
                <w:rFonts w:hint="default" w:ascii="Times New Roman" w:hAnsi="Times New Roman" w:cs="Times New Roman"/>
                <w:szCs w:val="24"/>
              </w:rPr>
              <w:t>。详情见表3-1。</w:t>
            </w:r>
          </w:p>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表3-1 污水排放标准限值</w:t>
            </w:r>
          </w:p>
          <w:tbl>
            <w:tblPr>
              <w:tblStyle w:val="17"/>
              <w:tblW w:w="82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3522"/>
              <w:gridCol w:w="2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782" w:type="dxa"/>
                  <w:tcBorders>
                    <w:bottom w:val="single" w:color="auto" w:sz="12" w:space="0"/>
                  </w:tcBorders>
                  <w:vAlign w:val="center"/>
                </w:tcPr>
                <w:p>
                  <w:pPr>
                    <w:pStyle w:val="2"/>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评价因子</w:t>
                  </w:r>
                </w:p>
              </w:tc>
              <w:tc>
                <w:tcPr>
                  <w:tcW w:w="3522" w:type="dxa"/>
                  <w:tcBorders>
                    <w:bottom w:val="single" w:color="auto" w:sz="12" w:space="0"/>
                  </w:tcBorders>
                  <w:vAlign w:val="center"/>
                </w:tcPr>
                <w:p>
                  <w:pPr>
                    <w:pStyle w:val="2"/>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标准限值</w:t>
                  </w:r>
                </w:p>
              </w:tc>
              <w:tc>
                <w:tcPr>
                  <w:tcW w:w="2900" w:type="dxa"/>
                  <w:tcBorders>
                    <w:bottom w:val="single" w:color="auto" w:sz="12" w:space="0"/>
                  </w:tcBorders>
                  <w:vAlign w:val="center"/>
                </w:tcPr>
                <w:p>
                  <w:pPr>
                    <w:pStyle w:val="2"/>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782" w:type="dxa"/>
                  <w:tcBorders>
                    <w:top w:val="single" w:color="auto" w:sz="12" w:space="0"/>
                    <w:tl2br w:val="nil"/>
                    <w:tr2bl w:val="nil"/>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pH</w:t>
                  </w:r>
                </w:p>
              </w:tc>
              <w:tc>
                <w:tcPr>
                  <w:tcW w:w="3522" w:type="dxa"/>
                  <w:tcBorders>
                    <w:top w:val="single" w:color="auto" w:sz="12" w:space="0"/>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6-9</w:t>
                  </w:r>
                </w:p>
              </w:tc>
              <w:tc>
                <w:tcPr>
                  <w:tcW w:w="2900" w:type="dxa"/>
                  <w:tcBorders>
                    <w:top w:val="single" w:color="auto" w:sz="12" w:space="0"/>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782" w:type="dxa"/>
                  <w:tcBorders>
                    <w:tl2br w:val="nil"/>
                    <w:tr2bl w:val="nil"/>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悬浮物</w:t>
                  </w:r>
                </w:p>
              </w:tc>
              <w:tc>
                <w:tcPr>
                  <w:tcW w:w="35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100</w:t>
                  </w:r>
                </w:p>
              </w:tc>
              <w:tc>
                <w:tcPr>
                  <w:tcW w:w="2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2" w:type="dxa"/>
                  <w:tcBorders>
                    <w:tl2br w:val="nil"/>
                    <w:tr2bl w:val="nil"/>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氨氮</w:t>
                  </w:r>
                </w:p>
              </w:tc>
              <w:tc>
                <w:tcPr>
                  <w:tcW w:w="35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25</w:t>
                  </w:r>
                </w:p>
              </w:tc>
              <w:tc>
                <w:tcPr>
                  <w:tcW w:w="2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2" w:type="dxa"/>
                  <w:tcBorders>
                    <w:tl2br w:val="nil"/>
                    <w:tr2bl w:val="nil"/>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化学需氧量</w:t>
                  </w:r>
                </w:p>
              </w:tc>
              <w:tc>
                <w:tcPr>
                  <w:tcW w:w="35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300</w:t>
                  </w:r>
                </w:p>
              </w:tc>
              <w:tc>
                <w:tcPr>
                  <w:tcW w:w="2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2" w:type="dxa"/>
                  <w:tcBorders>
                    <w:tl2br w:val="nil"/>
                    <w:tr2bl w:val="nil"/>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五日生化需氧量</w:t>
                  </w:r>
                </w:p>
              </w:tc>
              <w:tc>
                <w:tcPr>
                  <w:tcW w:w="35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150</w:t>
                  </w:r>
                </w:p>
              </w:tc>
              <w:tc>
                <w:tcPr>
                  <w:tcW w:w="2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782" w:type="dxa"/>
                  <w:tcBorders>
                    <w:tl2br w:val="nil"/>
                    <w:tr2bl w:val="nil"/>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石油类</w:t>
                  </w:r>
                </w:p>
              </w:tc>
              <w:tc>
                <w:tcPr>
                  <w:tcW w:w="35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10</w:t>
                  </w:r>
                </w:p>
              </w:tc>
              <w:tc>
                <w:tcPr>
                  <w:tcW w:w="2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782" w:type="dxa"/>
                  <w:tcBorders>
                    <w:tl2br w:val="nil"/>
                    <w:tr2bl w:val="nil"/>
                  </w:tcBorders>
                  <w:vAlign w:val="center"/>
                </w:tcPr>
                <w:p>
                  <w:pPr>
                    <w:pStyle w:val="2"/>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动植物油</w:t>
                  </w:r>
                </w:p>
              </w:tc>
              <w:tc>
                <w:tcPr>
                  <w:tcW w:w="35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w:t>
                  </w:r>
                </w:p>
              </w:tc>
              <w:tc>
                <w:tcPr>
                  <w:tcW w:w="2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782" w:type="dxa"/>
                  <w:tcBorders>
                    <w:tl2br w:val="nil"/>
                    <w:tr2bl w:val="nil"/>
                  </w:tcBorders>
                  <w:vAlign w:val="center"/>
                </w:tcPr>
                <w:p>
                  <w:pPr>
                    <w:pStyle w:val="2"/>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总磷</w:t>
                  </w:r>
                </w:p>
              </w:tc>
              <w:tc>
                <w:tcPr>
                  <w:tcW w:w="35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3</w:t>
                  </w:r>
                </w:p>
              </w:tc>
              <w:tc>
                <w:tcPr>
                  <w:tcW w:w="2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782" w:type="dxa"/>
                  <w:tcBorders>
                    <w:tl2br w:val="nil"/>
                    <w:tr2bl w:val="nil"/>
                  </w:tcBorders>
                  <w:vAlign w:val="center"/>
                </w:tcPr>
                <w:p>
                  <w:pPr>
                    <w:pStyle w:val="2"/>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执行标准</w:t>
                  </w:r>
                </w:p>
              </w:tc>
              <w:tc>
                <w:tcPr>
                  <w:tcW w:w="3522" w:type="dxa"/>
                  <w:tcBorders>
                    <w:tl2br w:val="nil"/>
                    <w:tr2bl w:val="nil"/>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《汽车维修业水污染物排放标准》（GB26877-2011）表2中的间接排放限值</w:t>
                  </w:r>
                </w:p>
              </w:tc>
              <w:tc>
                <w:tcPr>
                  <w:tcW w:w="2900" w:type="dxa"/>
                  <w:tcBorders>
                    <w:tl2br w:val="nil"/>
                    <w:tr2bl w:val="nil"/>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咸安经济开发区污水处理厂接管标准</w:t>
                  </w:r>
                </w:p>
              </w:tc>
            </w:tr>
          </w:tbl>
          <w:p>
            <w:pPr>
              <w:pStyle w:val="2"/>
              <w:spacing w:line="360" w:lineRule="auto"/>
              <w:rPr>
                <w:rFonts w:hint="default" w:ascii="Times New Roman" w:hAnsi="Times New Roman" w:cs="Times New Roman"/>
                <w:b/>
                <w:bCs/>
                <w:szCs w:val="24"/>
              </w:rPr>
            </w:pPr>
            <w:r>
              <w:rPr>
                <w:rFonts w:hint="default" w:ascii="Times New Roman" w:hAnsi="Times New Roman" w:cs="Times New Roman"/>
                <w:b/>
                <w:bCs/>
                <w:szCs w:val="24"/>
              </w:rPr>
              <w:t>2、有组织废气</w:t>
            </w:r>
          </w:p>
          <w:p>
            <w:pPr>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本项目产生的有组织废气主要是喷漆工序产生的VOCs（以非甲烷总烃计）、甲苯、二甲苯和颗粒物。VOCs（以非甲烷总烃计）、甲苯、二甲苯执行《天津市工业企业挥发性有机物排放控制标准》（DB12/524-2014）“表2、汽车制造与维修行业”中标准限值要求；颗粒物执行</w:t>
            </w:r>
            <w:r>
              <w:rPr>
                <w:rFonts w:ascii="Times New Roman" w:hAnsi="Times New Roman" w:cs="Times New Roman"/>
                <w:sz w:val="24"/>
              </w:rPr>
              <w:t>《大气污染物综合排放标准》（GB16297-1996）表2中有组织排放监控浓度限值要求。</w:t>
            </w:r>
            <w:r>
              <w:rPr>
                <w:rFonts w:ascii="Times New Roman" w:hAnsi="Times New Roman" w:cs="Times New Roman"/>
                <w:color w:val="000000" w:themeColor="text1"/>
                <w:sz w:val="24"/>
              </w:rPr>
              <w:t>详情见表3-2。</w:t>
            </w:r>
          </w:p>
          <w:p>
            <w:pPr>
              <w:adjustRightInd w:val="0"/>
              <w:snapToGrid w:val="0"/>
              <w:ind w:firstLine="480" w:firstLineChars="200"/>
              <w:rPr>
                <w:rFonts w:ascii="Times New Roman" w:hAnsi="Times New Roman" w:cs="Times New Roman"/>
                <w:sz w:val="24"/>
              </w:rPr>
            </w:pPr>
            <w:r>
              <w:rPr>
                <w:rFonts w:ascii="Times New Roman" w:hAnsi="Times New Roman" w:cs="Times New Roman"/>
                <w:sz w:val="24"/>
              </w:rPr>
              <w:t>根据《大气污染物综合排放标准》（GB/T16297-1996）中要求，新污染源的排气筒低于15m时，其排放速率标准值按照外推法计算结果在严格50%执行。由于本项目排气筒高度为10m，未达到标准规定的最低排气筒高度要求，因此本项目排气筒排放速率限值为：</w:t>
            </w:r>
          </w:p>
          <w:p>
            <w:pPr>
              <w:pStyle w:val="2"/>
              <w:spacing w:line="360" w:lineRule="auto"/>
              <w:ind w:firstLine="480" w:firstLineChars="200"/>
              <w:rPr>
                <w:rFonts w:hint="default" w:ascii="Times New Roman" w:hAnsi="Times New Roman" w:eastAsia="Times New Roman" w:cs="Times New Roman"/>
                <w:kern w:val="2"/>
                <w:szCs w:val="24"/>
              </w:rPr>
            </w:pPr>
            <w:r>
              <w:rPr>
                <w:rFonts w:hint="default" w:ascii="Times New Roman" w:hAnsi="Times New Roman" w:eastAsia="Times New Roman" w:cs="Times New Roman"/>
                <w:kern w:val="2"/>
                <w:szCs w:val="24"/>
              </w:rPr>
              <w:t>颗粒物：Q=3.5×（10/15）</w:t>
            </w:r>
            <w:r>
              <w:rPr>
                <w:rFonts w:hint="default" w:ascii="Times New Roman" w:hAnsi="Times New Roman" w:eastAsia="Times New Roman" w:cs="Times New Roman"/>
                <w:kern w:val="2"/>
                <w:szCs w:val="24"/>
                <w:vertAlign w:val="superscript"/>
              </w:rPr>
              <w:t>2</w:t>
            </w:r>
            <w:r>
              <w:rPr>
                <w:rFonts w:hint="default" w:ascii="Times New Roman" w:hAnsi="Times New Roman" w:eastAsia="Times New Roman" w:cs="Times New Roman"/>
                <w:kern w:val="2"/>
                <w:szCs w:val="24"/>
              </w:rPr>
              <w:t>×50%=0.78kg/h</w:t>
            </w:r>
          </w:p>
          <w:p>
            <w:pPr>
              <w:pStyle w:val="2"/>
              <w:spacing w:line="360" w:lineRule="auto"/>
              <w:ind w:firstLine="480" w:firstLineChars="200"/>
              <w:rPr>
                <w:rFonts w:hint="default" w:ascii="Times New Roman" w:hAnsi="Times New Roman" w:eastAsia="Times New Roman" w:cs="Times New Roman"/>
                <w:kern w:val="2"/>
                <w:szCs w:val="24"/>
              </w:rPr>
            </w:pPr>
            <w:r>
              <w:rPr>
                <w:rFonts w:hint="default" w:ascii="Times New Roman" w:hAnsi="Times New Roman" w:cs="Times New Roman"/>
                <w:color w:val="auto"/>
                <w:szCs w:val="24"/>
              </w:rPr>
              <w:t>VOCs（以非甲烷总烃计</w:t>
            </w:r>
            <w:r>
              <w:rPr>
                <w:rFonts w:hint="default" w:ascii="Times New Roman" w:hAnsi="Times New Roman" w:cs="Times New Roman"/>
                <w:color w:val="000000" w:themeColor="text1"/>
                <w:kern w:val="2"/>
                <w:szCs w:val="24"/>
              </w:rPr>
              <w:t>）：</w:t>
            </w:r>
            <w:r>
              <w:rPr>
                <w:rFonts w:hint="default" w:ascii="Times New Roman" w:hAnsi="Times New Roman" w:eastAsia="Times New Roman" w:cs="Times New Roman"/>
                <w:kern w:val="2"/>
                <w:szCs w:val="24"/>
              </w:rPr>
              <w:t>Q=1.5×（10/15）</w:t>
            </w:r>
            <w:r>
              <w:rPr>
                <w:rFonts w:hint="default" w:ascii="Times New Roman" w:hAnsi="Times New Roman" w:eastAsia="Times New Roman" w:cs="Times New Roman"/>
                <w:kern w:val="2"/>
                <w:szCs w:val="24"/>
                <w:vertAlign w:val="superscript"/>
              </w:rPr>
              <w:t>2</w:t>
            </w:r>
            <w:r>
              <w:rPr>
                <w:rFonts w:hint="default" w:ascii="Times New Roman" w:hAnsi="Times New Roman" w:eastAsia="Times New Roman" w:cs="Times New Roman"/>
                <w:kern w:val="2"/>
                <w:szCs w:val="24"/>
              </w:rPr>
              <w:t>×50%=0.33kg/h</w:t>
            </w:r>
          </w:p>
          <w:p>
            <w:pPr>
              <w:adjustRightInd w:val="0"/>
              <w:snapToGrid w:val="0"/>
              <w:ind w:firstLine="480" w:firstLineChars="200"/>
              <w:rPr>
                <w:rFonts w:ascii="Times New Roman" w:hAnsi="Times New Roman" w:cs="Times New Roman"/>
                <w:sz w:val="24"/>
              </w:rPr>
            </w:pPr>
            <w:r>
              <w:rPr>
                <w:rFonts w:ascii="Times New Roman" w:hAnsi="Times New Roman" w:cs="Times New Roman"/>
                <w:sz w:val="24"/>
              </w:rPr>
              <w:t>根据</w:t>
            </w:r>
            <w:r>
              <w:rPr>
                <w:rFonts w:ascii="Times New Roman" w:hAnsi="Times New Roman" w:cs="Times New Roman"/>
                <w:color w:val="000000" w:themeColor="text1"/>
                <w:sz w:val="24"/>
              </w:rPr>
              <w:t>《天津市工业企业挥发性有机物排放控制标准》（DB12/524-2014）</w:t>
            </w:r>
            <w:r>
              <w:rPr>
                <w:rFonts w:ascii="Times New Roman" w:hAnsi="Times New Roman" w:cs="Times New Roman"/>
                <w:sz w:val="24"/>
              </w:rPr>
              <w:t>中要求，企业排气筒低于15m时，其排放速率标准值按照外推法计算结果在严格50%执行。由于本项目排气筒高度为10m，未达到标准规定的最低排气筒高度要求，因此本项目排气筒排放速率限值为：</w:t>
            </w:r>
          </w:p>
          <w:p>
            <w:pPr>
              <w:pStyle w:val="2"/>
              <w:spacing w:line="360" w:lineRule="auto"/>
              <w:ind w:firstLine="480" w:firstLineChars="200"/>
              <w:rPr>
                <w:rFonts w:hint="default" w:ascii="Times New Roman" w:hAnsi="Times New Roman" w:eastAsia="Times New Roman" w:cs="Times New Roman"/>
                <w:kern w:val="2"/>
                <w:szCs w:val="24"/>
              </w:rPr>
            </w:pPr>
            <w:r>
              <w:rPr>
                <w:rFonts w:hint="default" w:ascii="Times New Roman" w:hAnsi="Times New Roman" w:cs="Times New Roman"/>
                <w:smallCaps/>
                <w:color w:val="auto"/>
                <w:szCs w:val="21"/>
              </w:rPr>
              <w:t>甲苯与二甲苯合计：</w:t>
            </w:r>
            <w:r>
              <w:rPr>
                <w:rFonts w:hint="default" w:ascii="Times New Roman" w:hAnsi="Times New Roman" w:eastAsia="Times New Roman" w:cs="Times New Roman"/>
                <w:kern w:val="2"/>
                <w:szCs w:val="24"/>
              </w:rPr>
              <w:t>Q=0.8×（10/15）</w:t>
            </w:r>
            <w:r>
              <w:rPr>
                <w:rFonts w:hint="default" w:ascii="Times New Roman" w:hAnsi="Times New Roman" w:eastAsia="Times New Roman" w:cs="Times New Roman"/>
                <w:kern w:val="2"/>
                <w:szCs w:val="24"/>
                <w:vertAlign w:val="superscript"/>
              </w:rPr>
              <w:t>2</w:t>
            </w:r>
            <w:r>
              <w:rPr>
                <w:rFonts w:hint="default" w:ascii="Times New Roman" w:hAnsi="Times New Roman" w:eastAsia="Times New Roman" w:cs="Times New Roman"/>
                <w:kern w:val="2"/>
                <w:szCs w:val="24"/>
              </w:rPr>
              <w:t>×50%=0.18kg/h</w:t>
            </w:r>
          </w:p>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表3-2 有组织废气排放标准限值</w:t>
            </w:r>
          </w:p>
          <w:tbl>
            <w:tblPr>
              <w:tblStyle w:val="17"/>
              <w:tblW w:w="8097"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637"/>
              <w:gridCol w:w="1745"/>
              <w:gridCol w:w="33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13" w:type="dxa"/>
                  <w:tcBorders>
                    <w:bottom w:val="single" w:color="auto" w:sz="12" w:space="0"/>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污染因子</w:t>
                  </w:r>
                </w:p>
              </w:tc>
              <w:tc>
                <w:tcPr>
                  <w:tcW w:w="1637" w:type="dxa"/>
                  <w:tcBorders>
                    <w:bottom w:val="single" w:color="auto" w:sz="12" w:space="0"/>
                  </w:tcBorders>
                  <w:vAlign w:val="center"/>
                </w:tcPr>
                <w:p>
                  <w:pPr>
                    <w:jc w:val="center"/>
                    <w:rPr>
                      <w:rFonts w:ascii="Times New Roman" w:hAnsi="Times New Roman" w:cs="Times New Roman"/>
                      <w:b/>
                      <w:bCs/>
                      <w:szCs w:val="21"/>
                    </w:rPr>
                  </w:pPr>
                  <w:r>
                    <w:rPr>
                      <w:rFonts w:ascii="Times New Roman" w:hAnsi="Times New Roman" w:cs="Times New Roman"/>
                      <w:b/>
                      <w:color w:val="000000" w:themeColor="text1"/>
                      <w:szCs w:val="21"/>
                    </w:rPr>
                    <w:t>限值（mg/m</w:t>
                  </w:r>
                  <w:r>
                    <w:rPr>
                      <w:rFonts w:ascii="Times New Roman" w:hAnsi="Times New Roman" w:cs="Times New Roman"/>
                      <w:b/>
                      <w:color w:val="000000" w:themeColor="text1"/>
                      <w:szCs w:val="21"/>
                      <w:vertAlign w:val="superscript"/>
                    </w:rPr>
                    <w:t>3</w:t>
                  </w:r>
                  <w:r>
                    <w:rPr>
                      <w:rFonts w:ascii="Times New Roman" w:hAnsi="Times New Roman" w:cs="Times New Roman"/>
                      <w:b/>
                      <w:color w:val="000000" w:themeColor="text1"/>
                      <w:szCs w:val="21"/>
                    </w:rPr>
                    <w:t>）</w:t>
                  </w:r>
                </w:p>
              </w:tc>
              <w:tc>
                <w:tcPr>
                  <w:tcW w:w="1745" w:type="dxa"/>
                  <w:tcBorders>
                    <w:bottom w:val="single" w:color="auto" w:sz="12" w:space="0"/>
                  </w:tcBorders>
                  <w:vAlign w:val="center"/>
                </w:tcPr>
                <w:p>
                  <w:pPr>
                    <w:jc w:val="center"/>
                    <w:rPr>
                      <w:rFonts w:ascii="Times New Roman" w:hAnsi="Times New Roman" w:cs="Times New Roman"/>
                      <w:b/>
                      <w:bCs/>
                      <w:szCs w:val="21"/>
                    </w:rPr>
                  </w:pPr>
                  <w:r>
                    <w:rPr>
                      <w:rFonts w:ascii="Times New Roman" w:hAnsi="Times New Roman" w:cs="Times New Roman"/>
                      <w:b/>
                      <w:color w:val="000000" w:themeColor="text1"/>
                    </w:rPr>
                    <w:t>速率（kg/h）</w:t>
                  </w:r>
                </w:p>
              </w:tc>
              <w:tc>
                <w:tcPr>
                  <w:tcW w:w="3302" w:type="dxa"/>
                  <w:tcBorders>
                    <w:bottom w:val="single" w:color="auto" w:sz="12" w:space="0"/>
                  </w:tcBorders>
                  <w:vAlign w:val="center"/>
                </w:tcPr>
                <w:p>
                  <w:pPr>
                    <w:pStyle w:val="2"/>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限值标准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13" w:type="dxa"/>
                  <w:tcBorders>
                    <w:top w:val="single" w:color="auto" w:sz="12" w:space="0"/>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kern w:val="0"/>
                      <w:szCs w:val="21"/>
                    </w:rPr>
                    <w:t>VOCs（以非甲烷总烃计</w:t>
                  </w:r>
                  <w:r>
                    <w:rPr>
                      <w:rFonts w:ascii="Times New Roman" w:hAnsi="Times New Roman" w:cs="Times New Roman"/>
                      <w:color w:val="000000" w:themeColor="text1"/>
                      <w:sz w:val="24"/>
                    </w:rPr>
                    <w:t>）</w:t>
                  </w:r>
                </w:p>
              </w:tc>
              <w:tc>
                <w:tcPr>
                  <w:tcW w:w="1637" w:type="dxa"/>
                  <w:tcBorders>
                    <w:top w:val="single" w:color="auto" w:sz="12" w:space="0"/>
                    <w:bottom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40</w:t>
                  </w:r>
                </w:p>
              </w:tc>
              <w:tc>
                <w:tcPr>
                  <w:tcW w:w="1745" w:type="dxa"/>
                  <w:tcBorders>
                    <w:top w:val="single" w:color="auto" w:sz="12" w:space="0"/>
                  </w:tcBorders>
                  <w:vAlign w:val="center"/>
                </w:tcPr>
                <w:p>
                  <w:pPr>
                    <w:jc w:val="center"/>
                    <w:rPr>
                      <w:rFonts w:ascii="Times New Roman" w:hAnsi="Times New Roman" w:cs="Times New Roman"/>
                      <w:bCs/>
                      <w:szCs w:val="21"/>
                    </w:rPr>
                  </w:pPr>
                  <w:r>
                    <w:rPr>
                      <w:rFonts w:ascii="Times New Roman" w:hAnsi="Times New Roman" w:cs="Times New Roman"/>
                      <w:bCs/>
                      <w:szCs w:val="21"/>
                    </w:rPr>
                    <w:t>0.33</w:t>
                  </w:r>
                </w:p>
              </w:tc>
              <w:tc>
                <w:tcPr>
                  <w:tcW w:w="3302" w:type="dxa"/>
                  <w:vMerge w:val="restart"/>
                  <w:tcBorders>
                    <w:top w:val="single" w:color="auto" w:sz="12" w:space="0"/>
                  </w:tcBorders>
                  <w:vAlign w:val="center"/>
                </w:tcPr>
                <w:p>
                  <w:pPr>
                    <w:jc w:val="center"/>
                    <w:rPr>
                      <w:rFonts w:ascii="Times New Roman" w:hAnsi="Times New Roman" w:cs="Times New Roman"/>
                      <w:kern w:val="0"/>
                      <w:szCs w:val="21"/>
                    </w:rPr>
                  </w:pPr>
                  <w:r>
                    <w:rPr>
                      <w:rFonts w:ascii="Times New Roman" w:hAnsi="Times New Roman" w:cs="Times New Roman"/>
                      <w:color w:val="000000" w:themeColor="text1"/>
                      <w:sz w:val="24"/>
                    </w:rPr>
                    <w:t>《</w:t>
                  </w:r>
                  <w:r>
                    <w:rPr>
                      <w:rFonts w:ascii="Times New Roman" w:hAnsi="Times New Roman" w:cs="Times New Roman"/>
                      <w:szCs w:val="21"/>
                    </w:rPr>
                    <w:t>天津市工业企业挥发性有机物排放控制标准》（DB12/524-2014）“表2、汽车制造与维修行业”中标准限值要求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413" w:type="dxa"/>
                  <w:tcBorders>
                    <w:top w:val="single" w:color="auto" w:sz="4" w:space="0"/>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smallCaps/>
                      <w:szCs w:val="21"/>
                    </w:rPr>
                    <w:t>甲苯与二甲苯合计</w:t>
                  </w:r>
                </w:p>
              </w:tc>
              <w:tc>
                <w:tcPr>
                  <w:tcW w:w="1637" w:type="dxa"/>
                  <w:tcBorders>
                    <w:top w:val="single" w:color="auto" w:sz="4" w:space="0"/>
                    <w:bottom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c>
                <w:tcPr>
                  <w:tcW w:w="1745" w:type="dxa"/>
                  <w:vAlign w:val="center"/>
                </w:tcPr>
                <w:p>
                  <w:pPr>
                    <w:jc w:val="center"/>
                    <w:rPr>
                      <w:rFonts w:ascii="Times New Roman" w:hAnsi="Times New Roman" w:cs="Times New Roman"/>
                      <w:bCs/>
                      <w:szCs w:val="21"/>
                    </w:rPr>
                  </w:pPr>
                  <w:r>
                    <w:rPr>
                      <w:rFonts w:ascii="Times New Roman" w:hAnsi="Times New Roman" w:cs="Times New Roman"/>
                      <w:bCs/>
                      <w:szCs w:val="21"/>
                    </w:rPr>
                    <w:t>0.18</w:t>
                  </w:r>
                </w:p>
              </w:tc>
              <w:tc>
                <w:tcPr>
                  <w:tcW w:w="3302" w:type="dxa"/>
                  <w:vMerge w:val="continue"/>
                  <w:vAlign w:val="center"/>
                </w:tcPr>
                <w:p>
                  <w:pPr>
                    <w:pStyle w:val="2"/>
                    <w:spacing w:line="360" w:lineRule="auto"/>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413" w:type="dxa"/>
                  <w:tcBorders>
                    <w:top w:val="single" w:color="auto" w:sz="4" w:space="0"/>
                    <w:bottom w:val="single" w:color="auto" w:sz="12" w:space="0"/>
                  </w:tcBorders>
                  <w:vAlign w:val="center"/>
                </w:tcPr>
                <w:p>
                  <w:pPr>
                    <w:jc w:val="center"/>
                    <w:rPr>
                      <w:rFonts w:ascii="Times New Roman" w:hAnsi="Times New Roman" w:cs="Times New Roman"/>
                      <w:smallCaps/>
                      <w:szCs w:val="21"/>
                    </w:rPr>
                  </w:pPr>
                  <w:r>
                    <w:rPr>
                      <w:rFonts w:ascii="Times New Roman" w:hAnsi="Times New Roman" w:cs="Times New Roman"/>
                      <w:smallCaps/>
                      <w:szCs w:val="21"/>
                    </w:rPr>
                    <w:t>颗粒物</w:t>
                  </w:r>
                </w:p>
              </w:tc>
              <w:tc>
                <w:tcPr>
                  <w:tcW w:w="1637" w:type="dxa"/>
                  <w:tcBorders>
                    <w:top w:val="single" w:color="auto" w:sz="4" w:space="0"/>
                    <w:bottom w:val="single" w:color="auto" w:sz="12" w:space="0"/>
                  </w:tcBorders>
                  <w:vAlign w:val="center"/>
                </w:tcPr>
                <w:p>
                  <w:pPr>
                    <w:jc w:val="center"/>
                    <w:rPr>
                      <w:rFonts w:ascii="Times New Roman" w:hAnsi="Times New Roman" w:cs="Times New Roman"/>
                      <w:bCs/>
                      <w:szCs w:val="21"/>
                    </w:rPr>
                  </w:pPr>
                  <w:r>
                    <w:rPr>
                      <w:rFonts w:ascii="Times New Roman" w:hAnsi="Times New Roman" w:cs="Times New Roman"/>
                      <w:bCs/>
                      <w:szCs w:val="21"/>
                    </w:rPr>
                    <w:t>120</w:t>
                  </w:r>
                </w:p>
              </w:tc>
              <w:tc>
                <w:tcPr>
                  <w:tcW w:w="1745" w:type="dxa"/>
                  <w:tcBorders>
                    <w:bottom w:val="single" w:color="auto" w:sz="12" w:space="0"/>
                  </w:tcBorders>
                  <w:vAlign w:val="center"/>
                </w:tcPr>
                <w:p>
                  <w:pPr>
                    <w:jc w:val="center"/>
                    <w:rPr>
                      <w:rFonts w:ascii="Times New Roman" w:hAnsi="Times New Roman" w:cs="Times New Roman"/>
                      <w:bCs/>
                      <w:szCs w:val="21"/>
                    </w:rPr>
                  </w:pPr>
                  <w:r>
                    <w:rPr>
                      <w:rFonts w:ascii="Times New Roman" w:hAnsi="Times New Roman" w:cs="Times New Roman"/>
                      <w:bCs/>
                      <w:szCs w:val="21"/>
                    </w:rPr>
                    <w:t>0.78</w:t>
                  </w:r>
                </w:p>
              </w:tc>
              <w:tc>
                <w:tcPr>
                  <w:tcW w:w="3302" w:type="dxa"/>
                  <w:tcBorders>
                    <w:bottom w:val="single" w:color="auto" w:sz="12" w:space="0"/>
                  </w:tcBorders>
                  <w:vAlign w:val="center"/>
                </w:tcPr>
                <w:p>
                  <w:pPr>
                    <w:pStyle w:val="2"/>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rPr>
                    <w:t>《</w:t>
                  </w:r>
                  <w:r>
                    <w:rPr>
                      <w:rFonts w:hint="default" w:ascii="Times New Roman" w:hAnsi="Times New Roman" w:cs="Times New Roman"/>
                      <w:color w:val="auto"/>
                      <w:sz w:val="21"/>
                      <w:szCs w:val="21"/>
                    </w:rPr>
                    <w:t>大气污染物综合排放标准》（GB16297-1996）表2中有组织排放监控浓度限值要求</w:t>
                  </w:r>
                </w:p>
              </w:tc>
            </w:tr>
          </w:tbl>
          <w:p>
            <w:pPr>
              <w:rPr>
                <w:rFonts w:ascii="Times New Roman" w:hAnsi="Times New Roman" w:cs="Times New Roman"/>
                <w:b/>
                <w:bCs/>
                <w:color w:val="000000"/>
                <w:sz w:val="24"/>
              </w:rPr>
            </w:pPr>
            <w:r>
              <w:rPr>
                <w:rFonts w:ascii="Times New Roman" w:hAnsi="Times New Roman" w:cs="Times New Roman"/>
                <w:b/>
                <w:bCs/>
                <w:color w:val="000000"/>
                <w:sz w:val="24"/>
              </w:rPr>
              <w:t>3、无组织废气</w:t>
            </w:r>
          </w:p>
          <w:p>
            <w:pPr>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本项目无组织废气主要污染物有颗粒物、VOCs（以非甲烷总烃计）</w:t>
            </w:r>
            <w:r>
              <w:rPr>
                <w:rFonts w:ascii="Times New Roman" w:hAnsi="Times New Roman" w:cs="Times New Roman"/>
                <w:color w:val="000000"/>
                <w:sz w:val="24"/>
              </w:rPr>
              <w:t>、甲苯、二甲苯</w:t>
            </w:r>
            <w:r>
              <w:rPr>
                <w:rFonts w:ascii="Times New Roman" w:hAnsi="Times New Roman" w:cs="Times New Roman"/>
                <w:color w:val="000000" w:themeColor="text1"/>
                <w:sz w:val="24"/>
              </w:rPr>
              <w:t>。</w:t>
            </w:r>
            <w:r>
              <w:rPr>
                <w:rFonts w:ascii="Times New Roman" w:hAnsi="Times New Roman" w:cs="Times New Roman"/>
                <w:color w:val="000000"/>
                <w:sz w:val="24"/>
              </w:rPr>
              <w:t>颗粒物执行《大气污染物综合排放标准》(GB16297-1996)的表2中</w:t>
            </w:r>
            <w:r>
              <w:rPr>
                <w:rFonts w:hint="eastAsia" w:ascii="Times New Roman" w:hAnsi="Times New Roman" w:cs="Times New Roman"/>
                <w:color w:val="000000" w:themeColor="text1"/>
                <w:sz w:val="24"/>
                <w:lang w:eastAsia="zh-CN"/>
              </w:rPr>
              <w:t>无组织监控浓度要求</w:t>
            </w:r>
            <w:r>
              <w:rPr>
                <w:rFonts w:ascii="Times New Roman" w:hAnsi="Times New Roman" w:cs="Times New Roman"/>
                <w:color w:val="000000" w:themeColor="text1"/>
                <w:sz w:val="24"/>
              </w:rPr>
              <w:t>，甲苯、二甲苯和厂界外VOCs（以非甲烷总烃计）执行</w:t>
            </w:r>
            <w:r>
              <w:rPr>
                <w:rFonts w:ascii="Times New Roman" w:hAnsi="Times New Roman" w:cs="Times New Roman"/>
                <w:color w:val="000000"/>
                <w:sz w:val="24"/>
              </w:rPr>
              <w:t>《天津市工业企业挥发性有机物排放控制标准》（DB12/524-2014）表5无组织监控浓度要求，车间外</w:t>
            </w:r>
            <w:r>
              <w:rPr>
                <w:rFonts w:ascii="Times New Roman" w:hAnsi="Times New Roman" w:cs="Times New Roman"/>
                <w:color w:val="000000" w:themeColor="text1"/>
                <w:sz w:val="24"/>
              </w:rPr>
              <w:t>VOCs（以非甲烷总烃计）执行</w:t>
            </w:r>
            <w:r>
              <w:rPr>
                <w:rFonts w:ascii="Times New Roman" w:hAnsi="Times New Roman" w:cs="Times New Roman"/>
                <w:sz w:val="24"/>
              </w:rPr>
              <w:t>《挥发性有机物无组织排放控制标准》（GB37822-2019）中附录A中无组织排放监控浓度要求。</w:t>
            </w:r>
            <w:r>
              <w:rPr>
                <w:rFonts w:ascii="Times New Roman" w:hAnsi="Times New Roman" w:cs="Times New Roman"/>
                <w:color w:val="000000" w:themeColor="text1"/>
                <w:sz w:val="24"/>
              </w:rPr>
              <w:t>详情见表3-3。</w:t>
            </w:r>
          </w:p>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表3-3 无组织废气排放标准限值</w:t>
            </w:r>
          </w:p>
          <w:tbl>
            <w:tblPr>
              <w:tblStyle w:val="17"/>
              <w:tblW w:w="8055"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1710"/>
              <w:gridCol w:w="44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03" w:type="dxa"/>
                  <w:tcBorders>
                    <w:bottom w:val="single" w:color="auto" w:sz="12" w:space="0"/>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污染因子</w:t>
                  </w:r>
                </w:p>
              </w:tc>
              <w:tc>
                <w:tcPr>
                  <w:tcW w:w="1710" w:type="dxa"/>
                  <w:tcBorders>
                    <w:bottom w:val="single" w:color="auto" w:sz="12" w:space="0"/>
                  </w:tcBorders>
                  <w:vAlign w:val="center"/>
                </w:tcPr>
                <w:p>
                  <w:pPr>
                    <w:pStyle w:val="2"/>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rPr>
                    <w:t>限值（</w:t>
                  </w:r>
                  <w:r>
                    <w:rPr>
                      <w:rFonts w:hint="default" w:ascii="Times New Roman" w:hAnsi="Times New Roman" w:cs="Times New Roman"/>
                      <w:bCs/>
                      <w:szCs w:val="21"/>
                    </w:rPr>
                    <w:t>mg/m</w:t>
                  </w:r>
                  <w:r>
                    <w:rPr>
                      <w:rFonts w:hint="default" w:ascii="Times New Roman" w:hAnsi="Times New Roman" w:cs="Times New Roman"/>
                      <w:bCs/>
                      <w:szCs w:val="21"/>
                      <w:vertAlign w:val="superscript"/>
                    </w:rPr>
                    <w:t>3</w:t>
                  </w:r>
                  <w:r>
                    <w:rPr>
                      <w:rFonts w:hint="default" w:ascii="Times New Roman" w:hAnsi="Times New Roman" w:cs="Times New Roman"/>
                      <w:b/>
                      <w:bCs/>
                      <w:color w:val="auto"/>
                      <w:sz w:val="21"/>
                      <w:szCs w:val="21"/>
                    </w:rPr>
                    <w:t>）</w:t>
                  </w:r>
                </w:p>
              </w:tc>
              <w:tc>
                <w:tcPr>
                  <w:tcW w:w="4442" w:type="dxa"/>
                  <w:tcBorders>
                    <w:bottom w:val="single" w:color="auto" w:sz="12" w:space="0"/>
                  </w:tcBorders>
                  <w:vAlign w:val="center"/>
                </w:tcPr>
                <w:p>
                  <w:pPr>
                    <w:pStyle w:val="2"/>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限值标准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03" w:type="dxa"/>
                  <w:tcBorders>
                    <w:top w:val="single" w:color="auto" w:sz="12" w:space="0"/>
                    <w:bottom w:val="single" w:color="auto" w:sz="4" w:space="0"/>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颗粒物</w:t>
                  </w:r>
                </w:p>
              </w:tc>
              <w:tc>
                <w:tcPr>
                  <w:tcW w:w="1710" w:type="dxa"/>
                  <w:tcBorders>
                    <w:top w:val="single" w:color="auto" w:sz="12" w:space="0"/>
                    <w:bottom w:val="single" w:color="auto" w:sz="4" w:space="0"/>
                  </w:tcBorders>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1.0</w:t>
                  </w:r>
                </w:p>
              </w:tc>
              <w:tc>
                <w:tcPr>
                  <w:tcW w:w="4442" w:type="dxa"/>
                  <w:tcBorders>
                    <w:top w:val="single" w:color="auto" w:sz="12"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《大气污染</w:t>
                  </w:r>
                  <w:r>
                    <w:rPr>
                      <w:rFonts w:hint="eastAsia" w:ascii="Times New Roman" w:hAnsi="Times New Roman" w:cs="Times New Roman"/>
                      <w:color w:val="000000"/>
                      <w:szCs w:val="21"/>
                      <w:lang w:eastAsia="zh-CN"/>
                    </w:rPr>
                    <w:t>物</w:t>
                  </w:r>
                  <w:r>
                    <w:rPr>
                      <w:rFonts w:ascii="Times New Roman" w:hAnsi="Times New Roman" w:cs="Times New Roman"/>
                      <w:color w:val="000000"/>
                      <w:szCs w:val="21"/>
                    </w:rPr>
                    <w:t>综合排放标准》（GB16297-1996）</w:t>
                  </w:r>
                </w:p>
                <w:p>
                  <w:pPr>
                    <w:pStyle w:val="2"/>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sz w:val="21"/>
                      <w:szCs w:val="21"/>
                    </w:rPr>
                    <w:t>的表2中无组织监控浓度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03" w:type="dxa"/>
                  <w:tcBorders>
                    <w:top w:val="single" w:color="auto" w:sz="4" w:space="0"/>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kern w:val="0"/>
                      <w:szCs w:val="21"/>
                    </w:rPr>
                    <w:t>VOCs（以非甲烷总烃计</w:t>
                  </w:r>
                  <w:r>
                    <w:rPr>
                      <w:rFonts w:ascii="Times New Roman" w:hAnsi="Times New Roman" w:cs="Times New Roman"/>
                      <w:color w:val="000000" w:themeColor="text1"/>
                      <w:sz w:val="24"/>
                    </w:rPr>
                    <w:t>）</w:t>
                  </w:r>
                  <w:r>
                    <w:rPr>
                      <w:rFonts w:ascii="Times New Roman" w:hAnsi="Times New Roman" w:cs="Times New Roman"/>
                      <w:color w:val="000000" w:themeColor="text1"/>
                      <w:szCs w:val="21"/>
                    </w:rPr>
                    <w:t>厂界外</w:t>
                  </w:r>
                </w:p>
              </w:tc>
              <w:tc>
                <w:tcPr>
                  <w:tcW w:w="1710" w:type="dxa"/>
                  <w:tcBorders>
                    <w:top w:val="single" w:color="auto" w:sz="4" w:space="0"/>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2.0</w:t>
                  </w:r>
                </w:p>
              </w:tc>
              <w:tc>
                <w:tcPr>
                  <w:tcW w:w="4442"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lang w:eastAsia="zh-CN"/>
                    </w:rPr>
                    <w:t>天津市</w:t>
                  </w:r>
                  <w:r>
                    <w:rPr>
                      <w:rFonts w:ascii="Times New Roman" w:hAnsi="Times New Roman" w:cs="Times New Roman"/>
                    </w:rPr>
                    <w:t>《工业企业挥发性有机物排放控制标准》（DB12/524-2014）表5无组织监控浓度要求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03" w:type="dxa"/>
                  <w:tcBorders>
                    <w:top w:val="single" w:color="auto" w:sz="4" w:space="0"/>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bCs/>
                      <w:szCs w:val="21"/>
                    </w:rPr>
                    <w:t>二甲苯</w:t>
                  </w:r>
                </w:p>
              </w:tc>
              <w:tc>
                <w:tcPr>
                  <w:tcW w:w="1710" w:type="dxa"/>
                  <w:tcBorders>
                    <w:top w:val="single" w:color="auto" w:sz="4" w:space="0"/>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0.2</w:t>
                  </w:r>
                </w:p>
              </w:tc>
              <w:tc>
                <w:tcPr>
                  <w:tcW w:w="4442" w:type="dxa"/>
                  <w:vMerge w:val="continue"/>
                  <w:vAlign w:val="center"/>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03" w:type="dxa"/>
                  <w:tcBorders>
                    <w:top w:val="single" w:color="auto" w:sz="4" w:space="0"/>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bCs/>
                      <w:szCs w:val="21"/>
                    </w:rPr>
                    <w:t>甲苯</w:t>
                  </w:r>
                </w:p>
              </w:tc>
              <w:tc>
                <w:tcPr>
                  <w:tcW w:w="1710" w:type="dxa"/>
                  <w:tcBorders>
                    <w:top w:val="single" w:color="auto" w:sz="4" w:space="0"/>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0.6</w:t>
                  </w:r>
                </w:p>
              </w:tc>
              <w:tc>
                <w:tcPr>
                  <w:tcW w:w="4442" w:type="dxa"/>
                  <w:vMerge w:val="continue"/>
                  <w:vAlign w:val="center"/>
                </w:tcPr>
                <w:p>
                  <w:pPr>
                    <w:pStyle w:val="2"/>
                    <w:spacing w:line="360" w:lineRule="auto"/>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03" w:type="dxa"/>
                  <w:tcBorders>
                    <w:top w:val="single" w:color="auto" w:sz="4" w:space="0"/>
                  </w:tcBorders>
                  <w:vAlign w:val="center"/>
                </w:tcPr>
                <w:p>
                  <w:pPr>
                    <w:jc w:val="center"/>
                    <w:rPr>
                      <w:rFonts w:ascii="Times New Roman" w:hAnsi="Times New Roman" w:cs="Times New Roman"/>
                      <w:bCs/>
                      <w:szCs w:val="21"/>
                    </w:rPr>
                  </w:pPr>
                  <w:r>
                    <w:rPr>
                      <w:rFonts w:ascii="Times New Roman" w:hAnsi="Times New Roman" w:cs="Times New Roman"/>
                      <w:kern w:val="0"/>
                      <w:szCs w:val="21"/>
                    </w:rPr>
                    <w:t>VOCs（以非甲烷总烃计</w:t>
                  </w:r>
                  <w:r>
                    <w:rPr>
                      <w:rFonts w:ascii="Times New Roman" w:hAnsi="Times New Roman" w:cs="Times New Roman"/>
                      <w:color w:val="000000" w:themeColor="text1"/>
                      <w:sz w:val="24"/>
                    </w:rPr>
                    <w:t>）</w:t>
                  </w:r>
                  <w:r>
                    <w:rPr>
                      <w:rFonts w:ascii="Times New Roman" w:hAnsi="Times New Roman" w:cs="Times New Roman"/>
                      <w:color w:val="000000" w:themeColor="text1"/>
                      <w:szCs w:val="21"/>
                    </w:rPr>
                    <w:t>车间外</w:t>
                  </w:r>
                </w:p>
              </w:tc>
              <w:tc>
                <w:tcPr>
                  <w:tcW w:w="1710" w:type="dxa"/>
                  <w:tcBorders>
                    <w:top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4442" w:type="dxa"/>
                  <w:vAlign w:val="center"/>
                </w:tcPr>
                <w:p>
                  <w:pPr>
                    <w:pStyle w:val="2"/>
                    <w:spacing w:line="360" w:lineRule="auto"/>
                    <w:jc w:val="center"/>
                    <w:rPr>
                      <w:rFonts w:hint="default" w:ascii="Times New Roman" w:hAnsi="Times New Roman" w:cs="Times New Roman"/>
                      <w:sz w:val="21"/>
                      <w:szCs w:val="21"/>
                    </w:rPr>
                  </w:pPr>
                  <w:r>
                    <w:rPr>
                      <w:rFonts w:hint="default" w:ascii="Times New Roman" w:hAnsi="Times New Roman" w:cs="Times New Roman"/>
                      <w:color w:val="auto"/>
                      <w:sz w:val="21"/>
                      <w:szCs w:val="21"/>
                    </w:rPr>
                    <w:t>《挥发性有机物无组织排放控制标准》（GB37822-2019）中附录A中无组织排放监控浓度要求</w:t>
                  </w:r>
                </w:p>
              </w:tc>
            </w:tr>
          </w:tbl>
          <w:p>
            <w:pPr>
              <w:pStyle w:val="2"/>
              <w:spacing w:line="360" w:lineRule="auto"/>
              <w:rPr>
                <w:rFonts w:hint="default" w:ascii="Times New Roman" w:hAnsi="Times New Roman" w:cs="Times New Roman"/>
                <w:color w:val="000000" w:themeColor="text1"/>
                <w:szCs w:val="24"/>
              </w:rPr>
            </w:pPr>
          </w:p>
          <w:p>
            <w:pPr>
              <w:pStyle w:val="2"/>
              <w:spacing w:line="360" w:lineRule="auto"/>
              <w:rPr>
                <w:rFonts w:hint="default" w:ascii="Times New Roman" w:hAnsi="Times New Roman" w:cs="Times New Roman"/>
                <w:b/>
                <w:bCs/>
                <w:szCs w:val="24"/>
              </w:rPr>
            </w:pPr>
            <w:r>
              <w:rPr>
                <w:rFonts w:hint="default" w:ascii="Times New Roman" w:hAnsi="Times New Roman" w:cs="Times New Roman"/>
                <w:b/>
                <w:bCs/>
                <w:szCs w:val="24"/>
              </w:rPr>
              <w:t>4、噪声</w:t>
            </w:r>
          </w:p>
          <w:p>
            <w:pPr>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本项目厂界噪声执行（GB12348-2008）《工业企业厂界环境噪声排放标准》中的3类和4类声功能区标准，详情见表3-4。</w:t>
            </w:r>
          </w:p>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表3-4 厂界噪声排放标准限值</w:t>
            </w:r>
          </w:p>
          <w:tbl>
            <w:tblPr>
              <w:tblStyle w:val="16"/>
              <w:tblW w:w="82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997"/>
              <w:gridCol w:w="975"/>
              <w:gridCol w:w="5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项目</w:t>
                  </w:r>
                </w:p>
              </w:tc>
              <w:tc>
                <w:tcPr>
                  <w:tcW w:w="997"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昼间</w:t>
                  </w:r>
                </w:p>
              </w:tc>
              <w:tc>
                <w:tcPr>
                  <w:tcW w:w="975" w:type="dxa"/>
                  <w:tcBorders>
                    <w:tl2br w:val="nil"/>
                    <w:tr2bl w:val="nil"/>
                  </w:tcBorders>
                  <w:vAlign w:val="center"/>
                </w:tcPr>
                <w:p>
                  <w:pPr>
                    <w:jc w:val="center"/>
                    <w:rPr>
                      <w:rFonts w:ascii="Times New Roman" w:hAnsi="Times New Roman" w:cs="Times New Roman"/>
                      <w:b/>
                      <w:szCs w:val="21"/>
                    </w:rPr>
                  </w:pPr>
                  <w:r>
                    <w:rPr>
                      <w:rFonts w:ascii="Times New Roman" w:hAnsi="Times New Roman" w:cs="Times New Roman"/>
                      <w:b/>
                      <w:szCs w:val="21"/>
                    </w:rPr>
                    <w:t>夜间</w:t>
                  </w:r>
                </w:p>
              </w:tc>
              <w:tc>
                <w:tcPr>
                  <w:tcW w:w="5042"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217" w:type="dxa"/>
                  <w:vMerge w:val="restart"/>
                  <w:tcBorders>
                    <w:tl2br w:val="nil"/>
                    <w:tr2bl w:val="nil"/>
                  </w:tcBorders>
                  <w:vAlign w:val="center"/>
                </w:tcPr>
                <w:p>
                  <w:pPr>
                    <w:jc w:val="center"/>
                    <w:rPr>
                      <w:rFonts w:ascii="Times New Roman" w:hAnsi="Times New Roman" w:cs="Times New Roman"/>
                      <w:bCs/>
                      <w:szCs w:val="21"/>
                    </w:rPr>
                  </w:pPr>
                </w:p>
                <w:p>
                  <w:pPr>
                    <w:jc w:val="center"/>
                    <w:rPr>
                      <w:rFonts w:ascii="Times New Roman" w:hAnsi="Times New Roman" w:cs="Times New Roman"/>
                      <w:bCs/>
                      <w:szCs w:val="21"/>
                    </w:rPr>
                  </w:pPr>
                  <w:r>
                    <w:rPr>
                      <w:rFonts w:ascii="Times New Roman" w:hAnsi="Times New Roman" w:cs="Times New Roman"/>
                      <w:bCs/>
                      <w:szCs w:val="21"/>
                    </w:rPr>
                    <w:t>厂界噪声</w:t>
                  </w:r>
                </w:p>
                <w:p>
                  <w:pPr>
                    <w:jc w:val="center"/>
                    <w:rPr>
                      <w:rFonts w:ascii="Times New Roman" w:hAnsi="Times New Roman" w:cs="Times New Roman"/>
                      <w:bCs/>
                      <w:szCs w:val="21"/>
                    </w:rPr>
                  </w:pPr>
                </w:p>
              </w:tc>
              <w:tc>
                <w:tcPr>
                  <w:tcW w:w="997"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65</w:t>
                  </w:r>
                </w:p>
              </w:tc>
              <w:tc>
                <w:tcPr>
                  <w:tcW w:w="975"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55</w:t>
                  </w:r>
                </w:p>
              </w:tc>
              <w:tc>
                <w:tcPr>
                  <w:tcW w:w="5042"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项目东、西、北侧执行《工业企业厂界环境噪声排放标准》（GB12348-2008）</w:t>
                  </w:r>
                  <w:r>
                    <w:rPr>
                      <w:rFonts w:ascii="Times New Roman" w:hAnsi="Times New Roman" w:cs="Times New Roman"/>
                      <w:color w:val="000000"/>
                      <w:szCs w:val="21"/>
                    </w:rPr>
                    <w:t>的3类标准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217" w:type="dxa"/>
                  <w:vMerge w:val="continue"/>
                  <w:tcBorders>
                    <w:tl2br w:val="nil"/>
                    <w:tr2bl w:val="nil"/>
                  </w:tcBorders>
                  <w:vAlign w:val="center"/>
                </w:tcPr>
                <w:p>
                  <w:pPr>
                    <w:jc w:val="center"/>
                    <w:rPr>
                      <w:rFonts w:ascii="Times New Roman" w:hAnsi="Times New Roman" w:cs="Times New Roman"/>
                      <w:bCs/>
                      <w:szCs w:val="21"/>
                    </w:rPr>
                  </w:pPr>
                </w:p>
              </w:tc>
              <w:tc>
                <w:tcPr>
                  <w:tcW w:w="997"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70</w:t>
                  </w:r>
                </w:p>
              </w:tc>
              <w:tc>
                <w:tcPr>
                  <w:tcW w:w="975"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55</w:t>
                  </w:r>
                </w:p>
              </w:tc>
              <w:tc>
                <w:tcPr>
                  <w:tcW w:w="5042"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项目南侧执行《工业企业厂界环境噪声排放标准》（GB12348-2008）</w:t>
                  </w:r>
                  <w:r>
                    <w:rPr>
                      <w:rFonts w:ascii="Times New Roman" w:hAnsi="Times New Roman" w:cs="Times New Roman"/>
                      <w:color w:val="000000"/>
                      <w:szCs w:val="21"/>
                    </w:rPr>
                    <w:t>的4类标准</w:t>
                  </w:r>
                </w:p>
              </w:tc>
            </w:tr>
          </w:tbl>
          <w:p>
            <w:pPr>
              <w:pStyle w:val="2"/>
              <w:tabs>
                <w:tab w:val="left" w:pos="2198"/>
              </w:tabs>
              <w:rPr>
                <w:rFonts w:hint="default" w:ascii="Times New Roman" w:hAnsi="Times New Roman" w:cs="Times New Roman"/>
                <w:b/>
                <w:bCs/>
                <w:szCs w:val="24"/>
              </w:rPr>
            </w:pPr>
          </w:p>
        </w:tc>
      </w:tr>
      <w:bookmarkEnd w:id="3"/>
    </w:tbl>
    <w:p>
      <w:pPr>
        <w:rPr>
          <w:rFonts w:ascii="Times New Roman" w:hAnsi="Times New Roman" w:cs="Times New Roman"/>
          <w:b/>
          <w:bCs/>
          <w:sz w:val="28"/>
          <w:szCs w:val="28"/>
        </w:rPr>
      </w:pPr>
      <w:r>
        <w:rPr>
          <w:rFonts w:ascii="Times New Roman" w:hAnsi="Times New Roman" w:cs="Times New Roman"/>
          <w:b/>
          <w:bCs/>
          <w:sz w:val="28"/>
          <w:szCs w:val="28"/>
        </w:rPr>
        <w:br w:type="page"/>
      </w:r>
    </w:p>
    <w:p>
      <w:pPr>
        <w:jc w:val="center"/>
        <w:outlineLvl w:val="0"/>
        <w:rPr>
          <w:rFonts w:ascii="Times New Roman" w:hAnsi="Times New Roman" w:cs="Times New Roman"/>
          <w:b/>
          <w:bCs/>
          <w:sz w:val="30"/>
          <w:szCs w:val="30"/>
        </w:rPr>
      </w:pPr>
      <w:r>
        <w:rPr>
          <w:rFonts w:ascii="Times New Roman" w:hAnsi="Times New Roman" w:cs="Times New Roman"/>
          <w:b/>
          <w:bCs/>
          <w:sz w:val="28"/>
          <w:szCs w:val="28"/>
        </w:rPr>
        <w:t>表四项目主要建筑内容、规模及存在的主要污染物</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0" w:hRule="atLeast"/>
        </w:trPr>
        <w:tc>
          <w:tcPr>
            <w:tcW w:w="8522" w:type="dxa"/>
          </w:tcPr>
          <w:p>
            <w:pPr>
              <w:pStyle w:val="3"/>
              <w:spacing w:line="360" w:lineRule="auto"/>
              <w:rPr>
                <w:rFonts w:ascii="Times New Roman" w:hAnsi="Times New Roman" w:cs="Times New Roman"/>
                <w:sz w:val="28"/>
                <w:szCs w:val="28"/>
              </w:rPr>
            </w:pPr>
            <w:r>
              <w:rPr>
                <w:rFonts w:ascii="Times New Roman" w:hAnsi="Times New Roman" w:cs="Times New Roman"/>
                <w:sz w:val="28"/>
                <w:szCs w:val="28"/>
              </w:rPr>
              <w:t>4、工程建设情况</w:t>
            </w:r>
          </w:p>
          <w:p>
            <w:pPr>
              <w:pStyle w:val="4"/>
              <w:spacing w:line="360" w:lineRule="auto"/>
              <w:rPr>
                <w:rFonts w:ascii="Times New Roman" w:hAnsi="Times New Roman" w:eastAsia="宋体" w:cs="Times New Roman"/>
                <w:sz w:val="24"/>
              </w:rPr>
            </w:pPr>
            <w:r>
              <w:rPr>
                <w:rFonts w:ascii="Times New Roman" w:hAnsi="Times New Roman" w:eastAsia="宋体" w:cs="Times New Roman"/>
                <w:sz w:val="24"/>
              </w:rPr>
              <w:t>4.1、地理位置及平面布置</w:t>
            </w:r>
          </w:p>
          <w:p>
            <w:pPr>
              <w:widowControl/>
              <w:ind w:firstLine="480" w:firstLineChars="200"/>
              <w:jc w:val="left"/>
              <w:rPr>
                <w:rFonts w:ascii="Times New Roman" w:hAnsi="Times New Roman" w:cs="Times New Roman" w:eastAsiaTheme="minorEastAsia"/>
                <w:sz w:val="24"/>
              </w:rPr>
            </w:pPr>
            <w:r>
              <w:rPr>
                <w:rFonts w:ascii="Times New Roman" w:hAnsi="Times New Roman" w:cs="Times New Roman" w:eastAsiaTheme="minorEastAsia"/>
                <w:sz w:val="24"/>
              </w:rPr>
              <w:t>本项目所在厂区位于</w:t>
            </w:r>
            <w:r>
              <w:rPr>
                <w:rFonts w:ascii="Times New Roman" w:hAnsi="Times New Roman" w:cs="Times New Roman"/>
                <w:kern w:val="0"/>
                <w:sz w:val="24"/>
              </w:rPr>
              <w:t>咸宁市咸安经济开发区咸潘公路旁，临咸潘公路建设（位于项目南侧，</w:t>
            </w:r>
            <w:r>
              <w:rPr>
                <w:rFonts w:ascii="Times New Roman" w:hAnsi="Times New Roman" w:cs="Times New Roman" w:eastAsiaTheme="minorEastAsia"/>
                <w:sz w:val="24"/>
              </w:rPr>
              <w:t>经度：114°14′28″，纬度：29°52′35″）。项目区东侧紧邻咸宁源华建诚汽车销售服务有限公司，西侧紧邻恒信宝汽车销售服务有限公司，北侧为湖北恒普自动化有限公司，南侧紧邻咸潘公路（329省道），隔路为徐八村居民住宅区，约60户，距项目地点约100米。</w:t>
            </w:r>
          </w:p>
          <w:p>
            <w:pPr>
              <w:ind w:firstLine="480" w:firstLineChars="200"/>
              <w:rPr>
                <w:rFonts w:ascii="Times New Roman" w:hAnsi="Times New Roman" w:cs="Times New Roman"/>
              </w:rPr>
            </w:pPr>
            <w:r>
              <w:rPr>
                <w:rFonts w:ascii="Times New Roman" w:hAnsi="Times New Roman" w:cs="Times New Roman" w:eastAsiaTheme="minorEastAsia"/>
                <w:color w:val="000000" w:themeColor="text1"/>
                <w:sz w:val="24"/>
              </w:rPr>
              <w:t>项目具体地理区域位置见附图1、项目周边环境见附图2、项目平面布置图见附图3、附图4。</w:t>
            </w:r>
          </w:p>
          <w:p>
            <w:pPr>
              <w:pStyle w:val="2"/>
              <w:rPr>
                <w:rFonts w:hint="default" w:ascii="Times New Roman" w:hAnsi="Times New Roman" w:cs="Times New Roman"/>
              </w:rPr>
            </w:pPr>
            <w:r>
              <w:rPr>
                <w:rFonts w:hint="default" w:ascii="Times New Roman" w:hAnsi="Times New Roman" w:cs="Times New Roman"/>
              </w:rPr>
              <w:drawing>
                <wp:inline distT="0" distB="0" distL="114300" distR="114300">
                  <wp:extent cx="5271770" cy="4782820"/>
                  <wp:effectExtent l="0" t="0" r="1270" b="25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5271770" cy="4782820"/>
                          </a:xfrm>
                          <a:prstGeom prst="rect">
                            <a:avLst/>
                          </a:prstGeom>
                          <a:noFill/>
                          <a:ln>
                            <a:noFill/>
                          </a:ln>
                        </pic:spPr>
                      </pic:pic>
                    </a:graphicData>
                  </a:graphic>
                </wp:inline>
              </w:drawing>
            </w:r>
          </w:p>
          <w:p>
            <w:pPr>
              <w:jc w:val="center"/>
              <w:rPr>
                <w:rFonts w:ascii="Times New Roman" w:hAnsi="Times New Roman" w:cs="Times New Roman"/>
                <w:b/>
                <w:bCs/>
                <w:sz w:val="30"/>
                <w:szCs w:val="30"/>
              </w:rPr>
            </w:pPr>
          </w:p>
        </w:tc>
      </w:tr>
    </w:tbl>
    <w:p>
      <w:pPr>
        <w:pStyle w:val="2"/>
        <w:jc w:val="center"/>
        <w:outlineLvl w:val="0"/>
        <w:rPr>
          <w:rFonts w:hint="default" w:ascii="Times New Roman" w:hAnsi="Times New Roman" w:cs="Times New Roman"/>
          <w:b/>
          <w:bCs/>
          <w:sz w:val="30"/>
          <w:szCs w:val="30"/>
        </w:rPr>
        <w:sectPr>
          <w:pgSz w:w="11906" w:h="16838"/>
          <w:pgMar w:top="1440" w:right="1800" w:bottom="1440" w:left="1800" w:header="851" w:footer="992" w:gutter="0"/>
          <w:cols w:space="425" w:num="1"/>
          <w:docGrid w:type="lines" w:linePitch="312" w:charSpace="0"/>
        </w:sectPr>
      </w:pPr>
    </w:p>
    <w:tbl>
      <w:tblPr>
        <w:tblStyle w:val="1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4" w:type="dxa"/>
          </w:tcPr>
          <w:p>
            <w:pPr>
              <w:pStyle w:val="4"/>
              <w:spacing w:line="360" w:lineRule="auto"/>
              <w:rPr>
                <w:rFonts w:ascii="Times New Roman" w:hAnsi="Times New Roman" w:eastAsia="宋体" w:cs="Times New Roman"/>
                <w:sz w:val="24"/>
              </w:rPr>
            </w:pPr>
            <w:r>
              <w:rPr>
                <w:rFonts w:ascii="Times New Roman" w:hAnsi="Times New Roman" w:eastAsia="宋体" w:cs="Times New Roman"/>
                <w:sz w:val="24"/>
              </w:rPr>
              <w:t>4.2、建设内容</w:t>
            </w:r>
          </w:p>
          <w:p>
            <w:pPr>
              <w:ind w:firstLine="480" w:firstLineChars="200"/>
              <w:rPr>
                <w:rFonts w:ascii="Times New Roman" w:hAnsi="Times New Roman" w:cs="Times New Roman"/>
                <w:color w:val="000000" w:themeColor="text1"/>
                <w:sz w:val="24"/>
              </w:rPr>
            </w:pPr>
            <w:r>
              <w:rPr>
                <w:rFonts w:ascii="Times New Roman" w:hAnsi="Times New Roman" w:cs="Times New Roman" w:eastAsiaTheme="minorEastAsia"/>
                <w:sz w:val="24"/>
              </w:rPr>
              <w:t>咸宁黄浦丰田汽车销售服务有限公司位于咸宁市咸安经济开发区咸潘公路旁(京珠高速咸宁南出口咸安方向5公里处)，总占地面积约10000</w:t>
            </w:r>
            <w:r>
              <w:rPr>
                <w:rFonts w:ascii="Times New Roman" w:hAnsi="Times New Roman" w:cs="Times New Roman"/>
                <w:color w:val="000000"/>
                <w:sz w:val="24"/>
              </w:rPr>
              <w:t>m</w:t>
            </w:r>
            <w:r>
              <w:rPr>
                <w:rFonts w:ascii="Times New Roman" w:hAnsi="Times New Roman" w:cs="Times New Roman"/>
                <w:color w:val="000000"/>
                <w:sz w:val="24"/>
                <w:vertAlign w:val="superscript"/>
              </w:rPr>
              <w:t>2</w:t>
            </w:r>
            <w:r>
              <w:rPr>
                <w:rFonts w:ascii="Times New Roman" w:hAnsi="Times New Roman" w:cs="Times New Roman" w:eastAsiaTheme="minorEastAsia"/>
                <w:sz w:val="24"/>
              </w:rPr>
              <w:t>，总建筑面积约2600</w:t>
            </w:r>
            <w:r>
              <w:rPr>
                <w:rFonts w:ascii="Times New Roman" w:hAnsi="Times New Roman" w:cs="Times New Roman"/>
                <w:color w:val="000000"/>
                <w:sz w:val="24"/>
              </w:rPr>
              <w:t>m</w:t>
            </w:r>
            <w:r>
              <w:rPr>
                <w:rFonts w:ascii="Times New Roman" w:hAnsi="Times New Roman" w:cs="Times New Roman"/>
                <w:color w:val="000000"/>
                <w:sz w:val="24"/>
                <w:vertAlign w:val="superscript"/>
              </w:rPr>
              <w:t>2</w:t>
            </w:r>
            <w:r>
              <w:rPr>
                <w:rFonts w:ascii="Times New Roman" w:hAnsi="Times New Roman" w:cs="Times New Roman" w:eastAsiaTheme="minorEastAsia"/>
                <w:sz w:val="24"/>
              </w:rPr>
              <w:t>。建设内容</w:t>
            </w:r>
            <w:r>
              <w:rPr>
                <w:rFonts w:ascii="Times New Roman" w:hAnsi="Times New Roman" w:cs="Times New Roman" w:eastAsiaTheme="minorEastAsia"/>
                <w:color w:val="000000" w:themeColor="text1"/>
                <w:sz w:val="24"/>
              </w:rPr>
              <w:t>主要包括主体工程(1栋2F综合厂房），辅助工程（地面停车厂、洗</w:t>
            </w:r>
            <w:r>
              <w:rPr>
                <w:rFonts w:hint="eastAsia" w:ascii="Times New Roman" w:hAnsi="Times New Roman" w:cs="Times New Roman" w:eastAsiaTheme="minorEastAsia"/>
                <w:color w:val="000000" w:themeColor="text1"/>
                <w:sz w:val="24"/>
                <w:lang w:eastAsia="zh-CN"/>
              </w:rPr>
              <w:t>车间</w:t>
            </w:r>
            <w:r>
              <w:rPr>
                <w:rFonts w:ascii="Times New Roman" w:hAnsi="Times New Roman" w:cs="Times New Roman" w:eastAsiaTheme="minorEastAsia"/>
                <w:color w:val="000000" w:themeColor="text1"/>
                <w:sz w:val="24"/>
              </w:rPr>
              <w:t>、）、公用工程、环保工程及办公及生活设施(位于综合厂房内)及其配套建设的环保工程（2个</w:t>
            </w:r>
            <w:r>
              <w:rPr>
                <w:rFonts w:ascii="Times New Roman" w:hAnsi="Times New Roman" w:cs="Times New Roman" w:eastAsiaTheme="minorEastAsia"/>
                <w:sz w:val="24"/>
              </w:rPr>
              <w:t>危废暂存间、活性炭吸附装置、三级沉淀池、化粪池</w:t>
            </w:r>
            <w:r>
              <w:rPr>
                <w:rFonts w:ascii="Times New Roman" w:hAnsi="Times New Roman" w:cs="Times New Roman" w:eastAsiaTheme="minorEastAsia"/>
                <w:color w:val="000000" w:themeColor="text1"/>
                <w:sz w:val="24"/>
              </w:rPr>
              <w:t>）等</w:t>
            </w:r>
            <w:r>
              <w:rPr>
                <w:rFonts w:ascii="Times New Roman" w:hAnsi="Times New Roman" w:cs="Times New Roman"/>
                <w:color w:val="000000" w:themeColor="text1"/>
                <w:sz w:val="24"/>
              </w:rPr>
              <w:t>。</w:t>
            </w:r>
          </w:p>
          <w:p>
            <w:pPr>
              <w:ind w:firstLine="480" w:firstLineChars="200"/>
              <w:rPr>
                <w:rFonts w:ascii="Times New Roman" w:hAnsi="Times New Roman" w:cs="Times New Roman"/>
                <w:sz w:val="24"/>
              </w:rPr>
            </w:pPr>
            <w:r>
              <w:rPr>
                <w:rFonts w:ascii="Times New Roman" w:hAnsi="Times New Roman" w:cs="Times New Roman"/>
                <w:sz w:val="24"/>
              </w:rPr>
              <w:t>建设项目主要建设内容及规模一览表见表4.2-1。</w:t>
            </w:r>
          </w:p>
          <w:p>
            <w:pPr>
              <w:jc w:val="center"/>
              <w:rPr>
                <w:rFonts w:ascii="Times New Roman" w:hAnsi="Times New Roman" w:cs="Times New Roman"/>
              </w:rPr>
            </w:pPr>
            <w:r>
              <w:rPr>
                <w:rFonts w:ascii="Times New Roman" w:hAnsi="Times New Roman" w:cs="Times New Roman"/>
                <w:b/>
                <w:bCs/>
                <w:szCs w:val="21"/>
              </w:rPr>
              <w:t>表4.2-1 该项目主要建设内容及规模一览表</w:t>
            </w:r>
          </w:p>
          <w:tbl>
            <w:tblPr>
              <w:tblStyle w:val="16"/>
              <w:tblW w:w="13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625"/>
              <w:gridCol w:w="802"/>
              <w:gridCol w:w="4047"/>
              <w:gridCol w:w="3535"/>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63" w:type="dxa"/>
                  <w:vAlign w:val="center"/>
                </w:tcPr>
                <w:p>
                  <w:pPr>
                    <w:spacing w:line="400" w:lineRule="exact"/>
                    <w:jc w:val="center"/>
                    <w:rPr>
                      <w:rFonts w:ascii="Times New Roman" w:hAnsi="Times New Roman" w:cs="Times New Roman"/>
                      <w:b/>
                      <w:bCs/>
                      <w:szCs w:val="21"/>
                    </w:rPr>
                  </w:pPr>
                  <w:r>
                    <w:rPr>
                      <w:rFonts w:ascii="Times New Roman" w:hAnsi="Times New Roman" w:cs="Times New Roman"/>
                      <w:b/>
                      <w:bCs/>
                      <w:szCs w:val="21"/>
                    </w:rPr>
                    <w:t>项目工程</w:t>
                  </w:r>
                </w:p>
              </w:tc>
              <w:tc>
                <w:tcPr>
                  <w:tcW w:w="1625" w:type="dxa"/>
                  <w:vAlign w:val="center"/>
                </w:tcPr>
                <w:p>
                  <w:pPr>
                    <w:spacing w:line="400" w:lineRule="exact"/>
                    <w:jc w:val="center"/>
                    <w:rPr>
                      <w:rFonts w:ascii="Times New Roman" w:hAnsi="Times New Roman" w:cs="Times New Roman"/>
                      <w:b/>
                      <w:bCs/>
                      <w:szCs w:val="21"/>
                    </w:rPr>
                  </w:pPr>
                  <w:r>
                    <w:rPr>
                      <w:rFonts w:ascii="Times New Roman" w:hAnsi="Times New Roman" w:cs="Times New Roman"/>
                      <w:b/>
                      <w:bCs/>
                      <w:szCs w:val="21"/>
                    </w:rPr>
                    <w:t>建设内容</w:t>
                  </w:r>
                </w:p>
              </w:tc>
              <w:tc>
                <w:tcPr>
                  <w:tcW w:w="4849" w:type="dxa"/>
                  <w:gridSpan w:val="2"/>
                  <w:vAlign w:val="center"/>
                </w:tcPr>
                <w:p>
                  <w:pPr>
                    <w:spacing w:line="400" w:lineRule="exact"/>
                    <w:jc w:val="center"/>
                    <w:rPr>
                      <w:rFonts w:ascii="Times New Roman" w:hAnsi="Times New Roman" w:cs="Times New Roman"/>
                      <w:b/>
                      <w:bCs/>
                      <w:szCs w:val="21"/>
                    </w:rPr>
                  </w:pPr>
                  <w:r>
                    <w:rPr>
                      <w:rFonts w:ascii="Times New Roman" w:hAnsi="Times New Roman" w:cs="Times New Roman"/>
                      <w:b/>
                      <w:bCs/>
                      <w:szCs w:val="21"/>
                    </w:rPr>
                    <w:t>环评设计建设规模</w:t>
                  </w:r>
                </w:p>
              </w:tc>
              <w:tc>
                <w:tcPr>
                  <w:tcW w:w="3535" w:type="dxa"/>
                  <w:vAlign w:val="center"/>
                </w:tcPr>
                <w:p>
                  <w:pPr>
                    <w:spacing w:line="400" w:lineRule="exact"/>
                    <w:jc w:val="center"/>
                    <w:rPr>
                      <w:rFonts w:ascii="Times New Roman" w:hAnsi="Times New Roman" w:cs="Times New Roman"/>
                      <w:b/>
                      <w:bCs/>
                      <w:szCs w:val="21"/>
                    </w:rPr>
                  </w:pPr>
                  <w:r>
                    <w:rPr>
                      <w:rFonts w:ascii="Times New Roman" w:hAnsi="Times New Roman" w:cs="Times New Roman"/>
                      <w:b/>
                      <w:bCs/>
                      <w:szCs w:val="21"/>
                    </w:rPr>
                    <w:t>实际建设规模</w:t>
                  </w:r>
                </w:p>
              </w:tc>
              <w:tc>
                <w:tcPr>
                  <w:tcW w:w="1940" w:type="dxa"/>
                  <w:vAlign w:val="center"/>
                </w:tcPr>
                <w:p>
                  <w:pPr>
                    <w:spacing w:line="400" w:lineRule="exact"/>
                    <w:jc w:val="center"/>
                    <w:rPr>
                      <w:rFonts w:ascii="Times New Roman" w:hAnsi="Times New Roman" w:cs="Times New Roman"/>
                      <w:b/>
                      <w:bCs/>
                      <w:szCs w:val="21"/>
                    </w:rPr>
                  </w:pPr>
                  <w:r>
                    <w:rPr>
                      <w:rFonts w:ascii="Times New Roman" w:hAnsi="Times New Roman"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主体工程</w:t>
                  </w: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展厅及办公室</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位于厂区中部，建筑面积为987m</w:t>
                  </w:r>
                  <w:r>
                    <w:rPr>
                      <w:rFonts w:ascii="Times New Roman" w:hAnsi="Times New Roman" w:cs="Times New Roman"/>
                      <w:color w:val="000000"/>
                      <w:szCs w:val="21"/>
                      <w:vertAlign w:val="superscript"/>
                    </w:rPr>
                    <w:t>2</w:t>
                  </w:r>
                  <w:r>
                    <w:rPr>
                      <w:rFonts w:ascii="Times New Roman" w:hAnsi="Times New Roman" w:cs="Times New Roman"/>
                      <w:color w:val="000000"/>
                      <w:szCs w:val="21"/>
                    </w:rPr>
                    <w:t>，其中1F中部为展厅及售后服务厅，2F为办公区</w:t>
                  </w:r>
                </w:p>
              </w:tc>
              <w:tc>
                <w:tcPr>
                  <w:tcW w:w="35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位于厂区中部，建筑面积为987m</w:t>
                  </w:r>
                  <w:r>
                    <w:rPr>
                      <w:rFonts w:ascii="Times New Roman" w:hAnsi="Times New Roman" w:cs="Times New Roman"/>
                      <w:color w:val="000000"/>
                      <w:szCs w:val="21"/>
                      <w:vertAlign w:val="superscript"/>
                    </w:rPr>
                    <w:t>2</w:t>
                  </w:r>
                  <w:r>
                    <w:rPr>
                      <w:rFonts w:ascii="Times New Roman" w:hAnsi="Times New Roman" w:cs="Times New Roman"/>
                      <w:color w:val="000000"/>
                      <w:szCs w:val="21"/>
                    </w:rPr>
                    <w:t>，其中1F中部为展厅及售后服务厅，2F为办公区</w:t>
                  </w:r>
                </w:p>
              </w:tc>
              <w:tc>
                <w:tcPr>
                  <w:tcW w:w="19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jc w:val="center"/>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维修车间</w:t>
                  </w:r>
                </w:p>
              </w:tc>
              <w:tc>
                <w:tcPr>
                  <w:tcW w:w="4849" w:type="dxa"/>
                  <w:gridSpan w:val="2"/>
                  <w:vAlign w:val="center"/>
                </w:tcPr>
                <w:p>
                  <w:pPr>
                    <w:rPr>
                      <w:rFonts w:ascii="Times New Roman" w:hAnsi="Times New Roman" w:cs="Times New Roman"/>
                      <w:color w:val="000000"/>
                      <w:szCs w:val="21"/>
                    </w:rPr>
                  </w:pPr>
                  <w:r>
                    <w:rPr>
                      <w:rFonts w:ascii="Times New Roman" w:hAnsi="Times New Roman" w:cs="Times New Roman"/>
                      <w:color w:val="000000"/>
                      <w:szCs w:val="21"/>
                    </w:rPr>
                    <w:t>位于厂区北侧，1F 北侧，总建筑面积为 1349 ㎡，设有车间办公室、休息室、预检区、拆装区、机修区、修理区、钣金区、烤漆区、调漆室、仓库等</w:t>
                  </w:r>
                </w:p>
              </w:tc>
              <w:tc>
                <w:tcPr>
                  <w:tcW w:w="35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位于厂区北侧，1F，总建筑面积为1349m</w:t>
                  </w:r>
                  <w:r>
                    <w:rPr>
                      <w:rFonts w:ascii="Times New Roman" w:hAnsi="Times New Roman" w:cs="Times New Roman"/>
                      <w:color w:val="000000"/>
                      <w:szCs w:val="21"/>
                      <w:vertAlign w:val="superscript"/>
                    </w:rPr>
                    <w:t>2</w:t>
                  </w:r>
                  <w:r>
                    <w:rPr>
                      <w:rFonts w:ascii="Times New Roman" w:hAnsi="Times New Roman" w:cs="Times New Roman"/>
                      <w:color w:val="000000"/>
                      <w:szCs w:val="21"/>
                    </w:rPr>
                    <w:t>，设有</w:t>
                  </w:r>
                  <w:r>
                    <w:rPr>
                      <w:rFonts w:ascii="Times New Roman" w:hAnsi="Times New Roman" w:cs="Times New Roman"/>
                      <w:color w:val="000000" w:themeColor="text1"/>
                      <w:szCs w:val="21"/>
                    </w:rPr>
                    <w:t>车间办公室、休息室、预检区、工具室、拆装区、机修区、总成修理区、钣金区、烤漆房、调漆室、仓库等</w:t>
                  </w:r>
                </w:p>
              </w:tc>
              <w:tc>
                <w:tcPr>
                  <w:tcW w:w="19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jc w:val="center"/>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洗车间</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位于厂区西北侧，1间，建筑面积约为45m</w:t>
                  </w:r>
                  <w:r>
                    <w:rPr>
                      <w:rFonts w:ascii="Times New Roman" w:hAnsi="Times New Roman" w:cs="Times New Roman"/>
                      <w:color w:val="000000"/>
                      <w:szCs w:val="21"/>
                      <w:vertAlign w:val="superscript"/>
                    </w:rPr>
                    <w:t>2</w:t>
                  </w:r>
                  <w:r>
                    <w:rPr>
                      <w:rFonts w:ascii="Times New Roman" w:hAnsi="Times New Roman" w:cs="Times New Roman"/>
                      <w:color w:val="000000"/>
                      <w:szCs w:val="21"/>
                    </w:rPr>
                    <w:t>，为客户提供洗车服务</w:t>
                  </w:r>
                </w:p>
              </w:tc>
              <w:tc>
                <w:tcPr>
                  <w:tcW w:w="35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位于厂区西北侧，1间</w:t>
                  </w:r>
                  <w:r>
                    <w:rPr>
                      <w:rFonts w:ascii="Times New Roman" w:hAnsi="Times New Roman" w:cs="Times New Roman"/>
                      <w:color w:val="000000" w:themeColor="text1"/>
                      <w:szCs w:val="21"/>
                    </w:rPr>
                    <w:t>，建筑面积约为45m</w:t>
                  </w:r>
                  <w:r>
                    <w:rPr>
                      <w:rFonts w:ascii="Times New Roman" w:hAnsi="Times New Roman" w:cs="Times New Roman"/>
                      <w:color w:val="000000" w:themeColor="text1"/>
                      <w:szCs w:val="21"/>
                      <w:vertAlign w:val="superscript"/>
                    </w:rPr>
                    <w:t>2</w:t>
                  </w:r>
                  <w:r>
                    <w:rPr>
                      <w:rFonts w:ascii="Times New Roman" w:hAnsi="Times New Roman" w:cs="Times New Roman"/>
                      <w:color w:val="000000" w:themeColor="text1"/>
                      <w:szCs w:val="21"/>
                    </w:rPr>
                    <w:t>，为客户提供</w:t>
                  </w:r>
                  <w:r>
                    <w:rPr>
                      <w:rFonts w:ascii="Times New Roman" w:hAnsi="Times New Roman" w:cs="Times New Roman"/>
                      <w:color w:val="000000"/>
                      <w:szCs w:val="21"/>
                    </w:rPr>
                    <w:t>洗车服务</w:t>
                  </w:r>
                </w:p>
              </w:tc>
              <w:tc>
                <w:tcPr>
                  <w:tcW w:w="19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3"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储运工程</w:t>
                  </w: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配件仓库</w:t>
                  </w:r>
                </w:p>
              </w:tc>
              <w:tc>
                <w:tcPr>
                  <w:tcW w:w="802"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位于维修车间内</w:t>
                  </w:r>
                </w:p>
              </w:tc>
              <w:tc>
                <w:tcPr>
                  <w:tcW w:w="404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1间，用于存放购买的原辅材料</w:t>
                  </w:r>
                </w:p>
              </w:tc>
              <w:tc>
                <w:tcPr>
                  <w:tcW w:w="3535" w:type="dxa"/>
                  <w:shd w:val="clear" w:color="auto" w:fill="auto"/>
                  <w:vAlign w:val="center"/>
                </w:tcPr>
                <w:p>
                  <w:pPr>
                    <w:jc w:val="center"/>
                    <w:rPr>
                      <w:rFonts w:ascii="Times New Roman" w:hAnsi="Times New Roman" w:cs="Times New Roman"/>
                      <w:color w:val="FFFFFF" w:themeColor="background1"/>
                      <w:szCs w:val="21"/>
                      <w:shd w:val="clear" w:color="FFFFFF" w:fill="D9D9D9"/>
                    </w:rPr>
                  </w:pPr>
                  <w:r>
                    <w:rPr>
                      <w:rFonts w:ascii="Times New Roman" w:hAnsi="Times New Roman" w:cs="Times New Roman"/>
                      <w:color w:val="000000"/>
                      <w:szCs w:val="21"/>
                    </w:rPr>
                    <w:t>1间，用于存放购买的原辅材料</w:t>
                  </w:r>
                </w:p>
              </w:tc>
              <w:tc>
                <w:tcPr>
                  <w:tcW w:w="1940" w:type="dxa"/>
                  <w:shd w:val="clear" w:color="auto" w:fill="auto"/>
                  <w:vAlign w:val="center"/>
                </w:tcPr>
                <w:p>
                  <w:pPr>
                    <w:jc w:val="center"/>
                    <w:rPr>
                      <w:rFonts w:ascii="Times New Roman" w:hAnsi="Times New Roman" w:cs="Times New Roman"/>
                      <w:color w:val="FFFFFF" w:themeColor="background1"/>
                      <w:szCs w:val="21"/>
                      <w:shd w:val="clear" w:color="FFFFFF" w:fill="D9D9D9"/>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3" w:type="dxa"/>
                  <w:vMerge w:val="continue"/>
                  <w:vAlign w:val="center"/>
                </w:tcPr>
                <w:p>
                  <w:pPr>
                    <w:jc w:val="center"/>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废件仓库</w:t>
                  </w:r>
                </w:p>
              </w:tc>
              <w:tc>
                <w:tcPr>
                  <w:tcW w:w="802" w:type="dxa"/>
                  <w:vMerge w:val="continue"/>
                  <w:vAlign w:val="center"/>
                </w:tcPr>
                <w:p>
                  <w:pPr>
                    <w:jc w:val="center"/>
                    <w:rPr>
                      <w:rFonts w:ascii="Times New Roman" w:hAnsi="Times New Roman" w:cs="Times New Roman"/>
                      <w:color w:val="000000"/>
                      <w:szCs w:val="21"/>
                    </w:rPr>
                  </w:pPr>
                </w:p>
              </w:tc>
              <w:tc>
                <w:tcPr>
                  <w:tcW w:w="404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1间，用于暂存各种废弃的汽车配件及车身件</w:t>
                  </w:r>
                </w:p>
              </w:tc>
              <w:tc>
                <w:tcPr>
                  <w:tcW w:w="3535"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一间，用于暂存各种废弃的汽车配件及车身件</w:t>
                  </w:r>
                </w:p>
              </w:tc>
              <w:tc>
                <w:tcPr>
                  <w:tcW w:w="1940"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3" w:type="dxa"/>
                  <w:vMerge w:val="continue"/>
                  <w:vAlign w:val="center"/>
                </w:tcPr>
                <w:p>
                  <w:pPr>
                    <w:jc w:val="center"/>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杂件仓库</w:t>
                  </w:r>
                </w:p>
              </w:tc>
              <w:tc>
                <w:tcPr>
                  <w:tcW w:w="802" w:type="dxa"/>
                  <w:vMerge w:val="continue"/>
                  <w:vAlign w:val="center"/>
                </w:tcPr>
                <w:p>
                  <w:pPr>
                    <w:jc w:val="center"/>
                    <w:rPr>
                      <w:rFonts w:ascii="Times New Roman" w:hAnsi="Times New Roman" w:cs="Times New Roman"/>
                      <w:color w:val="000000"/>
                      <w:szCs w:val="21"/>
                    </w:rPr>
                  </w:pPr>
                </w:p>
              </w:tc>
              <w:tc>
                <w:tcPr>
                  <w:tcW w:w="404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1间，用于存放各种维修工具</w:t>
                  </w:r>
                </w:p>
              </w:tc>
              <w:tc>
                <w:tcPr>
                  <w:tcW w:w="3535"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1间，用于存放各种维修工具</w:t>
                  </w:r>
                </w:p>
              </w:tc>
              <w:tc>
                <w:tcPr>
                  <w:tcW w:w="1940"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3" w:type="dxa"/>
                  <w:vMerge w:val="continue"/>
                  <w:vAlign w:val="center"/>
                </w:tcPr>
                <w:p>
                  <w:pPr>
                    <w:jc w:val="center"/>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停车区</w:t>
                  </w:r>
                </w:p>
              </w:tc>
              <w:tc>
                <w:tcPr>
                  <w:tcW w:w="802" w:type="dxa"/>
                  <w:vMerge w:val="continue"/>
                  <w:vAlign w:val="center"/>
                </w:tcPr>
                <w:p>
                  <w:pPr>
                    <w:jc w:val="center"/>
                    <w:rPr>
                      <w:rFonts w:ascii="Times New Roman" w:hAnsi="Times New Roman" w:cs="Times New Roman"/>
                      <w:color w:val="000000"/>
                      <w:szCs w:val="21"/>
                    </w:rPr>
                  </w:pPr>
                </w:p>
              </w:tc>
              <w:tc>
                <w:tcPr>
                  <w:tcW w:w="404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占地约80m</w:t>
                  </w:r>
                  <w:r>
                    <w:rPr>
                      <w:rFonts w:ascii="Times New Roman" w:hAnsi="Times New Roman" w:cs="Times New Roman"/>
                      <w:color w:val="000000"/>
                      <w:szCs w:val="21"/>
                      <w:vertAlign w:val="superscript"/>
                    </w:rPr>
                    <w:t>2</w:t>
                  </w:r>
                  <w:r>
                    <w:rPr>
                      <w:rFonts w:ascii="Times New Roman" w:hAnsi="Times New Roman" w:cs="Times New Roman"/>
                      <w:color w:val="000000"/>
                      <w:szCs w:val="21"/>
                    </w:rPr>
                    <w:t>，用于停放车辆</w:t>
                  </w:r>
                </w:p>
              </w:tc>
              <w:tc>
                <w:tcPr>
                  <w:tcW w:w="3535"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占地约80m</w:t>
                  </w:r>
                  <w:r>
                    <w:rPr>
                      <w:rFonts w:ascii="Times New Roman" w:hAnsi="Times New Roman" w:cs="Times New Roman"/>
                      <w:color w:val="000000"/>
                      <w:szCs w:val="21"/>
                      <w:vertAlign w:val="superscript"/>
                    </w:rPr>
                    <w:t>2</w:t>
                  </w:r>
                  <w:r>
                    <w:rPr>
                      <w:rFonts w:ascii="Times New Roman" w:hAnsi="Times New Roman" w:cs="Times New Roman"/>
                      <w:color w:val="000000"/>
                      <w:szCs w:val="21"/>
                    </w:rPr>
                    <w:t>，用于停放车辆</w:t>
                  </w:r>
                </w:p>
              </w:tc>
              <w:tc>
                <w:tcPr>
                  <w:tcW w:w="1940" w:type="dxa"/>
                  <w:shd w:val="clear" w:color="auto" w:fill="auto"/>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  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3" w:type="dxa"/>
                  <w:vMerge w:val="continue"/>
                  <w:vAlign w:val="center"/>
                </w:tcPr>
                <w:p>
                  <w:pPr>
                    <w:jc w:val="center"/>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危废暂存间</w:t>
                  </w:r>
                </w:p>
              </w:tc>
              <w:tc>
                <w:tcPr>
                  <w:tcW w:w="802" w:type="dxa"/>
                  <w:vMerge w:val="continue"/>
                  <w:vAlign w:val="center"/>
                </w:tcPr>
                <w:p>
                  <w:pPr>
                    <w:jc w:val="center"/>
                    <w:rPr>
                      <w:rFonts w:ascii="Times New Roman" w:hAnsi="Times New Roman" w:cs="Times New Roman"/>
                      <w:color w:val="000000"/>
                      <w:szCs w:val="21"/>
                    </w:rPr>
                  </w:pPr>
                </w:p>
              </w:tc>
              <w:tc>
                <w:tcPr>
                  <w:tcW w:w="4047"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1间，用于暂存废机油、废油漆桶、废活性炭等</w:t>
                  </w:r>
                </w:p>
              </w:tc>
              <w:tc>
                <w:tcPr>
                  <w:tcW w:w="3535"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2间，1间存放废机油（8</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2</w:t>
                  </w:r>
                  <w:r>
                    <w:rPr>
                      <w:rFonts w:ascii="Times New Roman" w:hAnsi="Times New Roman" w:cs="Times New Roman"/>
                      <w:color w:val="000000"/>
                      <w:szCs w:val="21"/>
                    </w:rPr>
                    <w:t>），1间存放废油漆桶、废活性炭和废过滤棉（1</w:t>
                  </w:r>
                  <w:r>
                    <w:rPr>
                      <w:rFonts w:hint="eastAsia" w:ascii="Times New Roman" w:hAnsi="Times New Roman" w:cs="Times New Roman"/>
                      <w:color w:val="000000"/>
                      <w:szCs w:val="21"/>
                    </w:rPr>
                    <w:t>0</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2</w:t>
                  </w:r>
                  <w:r>
                    <w:rPr>
                      <w:rFonts w:ascii="Times New Roman" w:hAnsi="Times New Roman" w:cs="Times New Roman"/>
                      <w:color w:val="000000"/>
                      <w:szCs w:val="21"/>
                    </w:rPr>
                    <w:t>）</w:t>
                  </w:r>
                </w:p>
              </w:tc>
              <w:tc>
                <w:tcPr>
                  <w:tcW w:w="1940"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废机油和废活性炭、废油漆桶、废过滤棉分开存放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3" w:type="dxa"/>
                  <w:vMerge w:val="restart"/>
                  <w:vAlign w:val="center"/>
                </w:tcPr>
                <w:p>
                  <w:pPr>
                    <w:jc w:val="center"/>
                    <w:rPr>
                      <w:rFonts w:ascii="Times New Roman" w:hAnsi="Times New Roman" w:cs="Times New Roman"/>
                    </w:rPr>
                  </w:pPr>
                  <w:r>
                    <w:rPr>
                      <w:rFonts w:ascii="Times New Roman" w:hAnsi="Times New Roman" w:cs="Times New Roman"/>
                    </w:rPr>
                    <w:t>公用工程</w:t>
                  </w: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给水</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引自市政给水管网，年供水量550m</w:t>
                  </w:r>
                  <w:r>
                    <w:rPr>
                      <w:rFonts w:ascii="Times New Roman" w:hAnsi="Times New Roman" w:cs="Times New Roman"/>
                      <w:color w:val="000000"/>
                      <w:szCs w:val="21"/>
                      <w:vertAlign w:val="superscript"/>
                    </w:rPr>
                    <w:t>3</w:t>
                  </w:r>
                </w:p>
              </w:tc>
              <w:tc>
                <w:tcPr>
                  <w:tcW w:w="3535"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引自市政给水管网，年供水量</w:t>
                  </w:r>
                  <w:r>
                    <w:rPr>
                      <w:rFonts w:ascii="Times New Roman" w:hAnsi="Times New Roman" w:cs="Times New Roman"/>
                      <w:szCs w:val="21"/>
                    </w:rPr>
                    <w:t>840</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p>
              </w:tc>
              <w:tc>
                <w:tcPr>
                  <w:tcW w:w="1940"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用水量增加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3" w:type="dxa"/>
                  <w:vMerge w:val="continue"/>
                  <w:vAlign w:val="center"/>
                </w:tcPr>
                <w:p>
                  <w:pPr>
                    <w:jc w:val="center"/>
                    <w:rPr>
                      <w:rFonts w:ascii="Times New Roman" w:hAnsi="Times New Roman" w:cs="Times New Roman"/>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排水</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排水采用雨污分流，雨水排入市政雨水管网；</w:t>
                  </w:r>
                </w:p>
                <w:p>
                  <w:pPr>
                    <w:jc w:val="center"/>
                    <w:rPr>
                      <w:rFonts w:ascii="Times New Roman" w:hAnsi="Times New Roman" w:cs="Times New Roman"/>
                      <w:color w:val="000000"/>
                      <w:szCs w:val="21"/>
                    </w:rPr>
                  </w:pPr>
                  <w:r>
                    <w:rPr>
                      <w:rFonts w:ascii="Times New Roman" w:hAnsi="Times New Roman" w:cs="Times New Roman"/>
                      <w:color w:val="000000"/>
                      <w:szCs w:val="21"/>
                    </w:rPr>
                    <w:t>办公生活污水及经隔油沉淀处理过的洗车废水</w:t>
                  </w:r>
                </w:p>
                <w:p>
                  <w:pPr>
                    <w:jc w:val="center"/>
                    <w:rPr>
                      <w:rFonts w:ascii="Times New Roman" w:hAnsi="Times New Roman" w:cs="Times New Roman"/>
                      <w:color w:val="000000"/>
                      <w:szCs w:val="21"/>
                    </w:rPr>
                  </w:pPr>
                  <w:r>
                    <w:rPr>
                      <w:rFonts w:ascii="Times New Roman" w:hAnsi="Times New Roman" w:cs="Times New Roman"/>
                      <w:color w:val="000000"/>
                      <w:szCs w:val="21"/>
                    </w:rPr>
                    <w:t>一起由化粪池处理，处理达《污水综合排放标</w:t>
                  </w:r>
                </w:p>
                <w:p>
                  <w:pPr>
                    <w:jc w:val="center"/>
                    <w:rPr>
                      <w:rFonts w:ascii="Times New Roman" w:hAnsi="Times New Roman" w:cs="Times New Roman"/>
                      <w:color w:val="000000"/>
                      <w:szCs w:val="21"/>
                    </w:rPr>
                  </w:pPr>
                  <w:r>
                    <w:rPr>
                      <w:rFonts w:ascii="Times New Roman" w:hAnsi="Times New Roman" w:cs="Times New Roman"/>
                      <w:color w:val="000000"/>
                      <w:szCs w:val="21"/>
                    </w:rPr>
                    <w:t>准》（GB8978-1996）三级排放标准和《汽车维</w:t>
                  </w:r>
                </w:p>
                <w:p>
                  <w:pPr>
                    <w:jc w:val="center"/>
                    <w:rPr>
                      <w:rFonts w:ascii="Times New Roman" w:hAnsi="Times New Roman" w:cs="Times New Roman"/>
                      <w:color w:val="000000"/>
                      <w:szCs w:val="21"/>
                    </w:rPr>
                  </w:pPr>
                  <w:r>
                    <w:rPr>
                      <w:rFonts w:ascii="Times New Roman" w:hAnsi="Times New Roman" w:cs="Times New Roman"/>
                      <w:color w:val="000000"/>
                      <w:szCs w:val="21"/>
                    </w:rPr>
                    <w:t>修行业水污染物排放标准》（GB26877-2011）</w:t>
                  </w:r>
                </w:p>
                <w:p>
                  <w:pPr>
                    <w:jc w:val="center"/>
                    <w:rPr>
                      <w:rFonts w:ascii="Times New Roman" w:hAnsi="Times New Roman" w:cs="Times New Roman"/>
                      <w:color w:val="000000"/>
                      <w:szCs w:val="21"/>
                    </w:rPr>
                  </w:pPr>
                  <w:r>
                    <w:rPr>
                      <w:rFonts w:ascii="Times New Roman" w:hAnsi="Times New Roman" w:cs="Times New Roman"/>
                      <w:color w:val="000000"/>
                      <w:szCs w:val="21"/>
                    </w:rPr>
                    <w:t>后通过排污管网进入咸安经济开发区污水处理</w:t>
                  </w:r>
                </w:p>
                <w:p>
                  <w:pPr>
                    <w:jc w:val="center"/>
                    <w:rPr>
                      <w:rFonts w:ascii="Times New Roman" w:hAnsi="Times New Roman" w:cs="Times New Roman"/>
                      <w:color w:val="000000"/>
                      <w:szCs w:val="21"/>
                    </w:rPr>
                  </w:pPr>
                  <w:r>
                    <w:rPr>
                      <w:rFonts w:ascii="Times New Roman" w:hAnsi="Times New Roman" w:cs="Times New Roman"/>
                      <w:color w:val="000000"/>
                      <w:szCs w:val="21"/>
                    </w:rPr>
                    <w:t>厂</w:t>
                  </w:r>
                </w:p>
              </w:tc>
              <w:tc>
                <w:tcPr>
                  <w:tcW w:w="3535"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排水采用雨污分流，雨水排入市政雨水管网；洗车废水经三级沉淀池处理后与生活污水一起经化粪池处理，处理达到《污水综合排放标准》（GB8978-1996）三级排放标准和《汽车维修行业水污染物排放标准》（GB26877-2011）</w:t>
                  </w:r>
                  <w:r>
                    <w:rPr>
                      <w:rFonts w:ascii="Times New Roman" w:hAnsi="Times New Roman" w:cs="Times New Roman"/>
                      <w:szCs w:val="21"/>
                    </w:rPr>
                    <w:t>表2中的间接排放限值</w:t>
                  </w:r>
                  <w:r>
                    <w:rPr>
                      <w:rFonts w:ascii="Times New Roman" w:hAnsi="Times New Roman" w:cs="Times New Roman"/>
                      <w:color w:val="000000"/>
                      <w:szCs w:val="21"/>
                    </w:rPr>
                    <w:t>后通过市政管网进入咸安经济开发区污水处理厂作进一步处理。</w:t>
                  </w:r>
                </w:p>
              </w:tc>
              <w:tc>
                <w:tcPr>
                  <w:tcW w:w="1940"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3" w:type="dxa"/>
                  <w:vMerge w:val="continue"/>
                  <w:vAlign w:val="center"/>
                </w:tcPr>
                <w:p>
                  <w:pPr>
                    <w:jc w:val="center"/>
                    <w:rPr>
                      <w:rFonts w:ascii="Times New Roman" w:hAnsi="Times New Roman" w:cs="Times New Roman"/>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供电</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市政供电电网供给</w:t>
                  </w:r>
                </w:p>
              </w:tc>
              <w:tc>
                <w:tcPr>
                  <w:tcW w:w="3535"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市政供电电网供给</w:t>
                  </w:r>
                </w:p>
              </w:tc>
              <w:tc>
                <w:tcPr>
                  <w:tcW w:w="1940" w:type="dxa"/>
                  <w:shd w:val="clear" w:color="auto" w:fill="auto"/>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环保工程</w:t>
                  </w: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废水处理</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隔油沉淀池一座（新建）（50m</w:t>
                  </w:r>
                  <w:r>
                    <w:rPr>
                      <w:rFonts w:ascii="Times New Roman" w:hAnsi="Times New Roman" w:cs="Times New Roman"/>
                      <w:color w:val="000000"/>
                      <w:szCs w:val="21"/>
                      <w:vertAlign w:val="superscript"/>
                    </w:rPr>
                    <w:t>3</w:t>
                  </w:r>
                  <w:r>
                    <w:rPr>
                      <w:rFonts w:ascii="Times New Roman" w:hAnsi="Times New Roman" w:cs="Times New Roman"/>
                      <w:color w:val="000000"/>
                      <w:szCs w:val="21"/>
                    </w:rPr>
                    <w:t>）、化粪池一座（依托）（100m</w:t>
                  </w:r>
                  <w:r>
                    <w:rPr>
                      <w:rFonts w:ascii="Times New Roman" w:hAnsi="Times New Roman" w:cs="Times New Roman"/>
                      <w:color w:val="000000"/>
                      <w:szCs w:val="21"/>
                      <w:vertAlign w:val="superscript"/>
                    </w:rPr>
                    <w:t>3</w:t>
                  </w:r>
                  <w:r>
                    <w:rPr>
                      <w:rFonts w:ascii="Times New Roman" w:hAnsi="Times New Roman" w:cs="Times New Roman"/>
                      <w:color w:val="000000"/>
                      <w:szCs w:val="21"/>
                    </w:rPr>
                    <w:t>）、雨污分流管网</w:t>
                  </w:r>
                </w:p>
              </w:tc>
              <w:tc>
                <w:tcPr>
                  <w:tcW w:w="3535" w:type="dxa"/>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三级沉淀</w:t>
                  </w:r>
                  <w:r>
                    <w:rPr>
                      <w:rFonts w:ascii="Times New Roman" w:hAnsi="Times New Roman" w:cs="Times New Roman"/>
                      <w:color w:val="000000" w:themeColor="text1"/>
                      <w:szCs w:val="21"/>
                    </w:rPr>
                    <w:t>池（</w:t>
                  </w:r>
                  <w:r>
                    <w:rPr>
                      <w:rFonts w:hint="eastAsia" w:ascii="Times New Roman" w:hAnsi="Times New Roman" w:cs="Times New Roman"/>
                      <w:color w:val="000000" w:themeColor="text1"/>
                      <w:szCs w:val="21"/>
                    </w:rPr>
                    <w:t>20</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）、化粪池</w:t>
                  </w: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座（</w:t>
                  </w:r>
                  <w:r>
                    <w:rPr>
                      <w:rFonts w:hint="eastAsia" w:ascii="Times New Roman" w:hAnsi="Times New Roman" w:cs="Times New Roman"/>
                      <w:color w:val="000000" w:themeColor="text1"/>
                      <w:szCs w:val="21"/>
                    </w:rPr>
                    <w:t>单个24</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）、雨污</w:t>
                  </w:r>
                  <w:r>
                    <w:rPr>
                      <w:rFonts w:ascii="Times New Roman" w:hAnsi="Times New Roman" w:cs="Times New Roman"/>
                      <w:color w:val="000000"/>
                      <w:szCs w:val="21"/>
                    </w:rPr>
                    <w:t>分流管网</w:t>
                  </w:r>
                </w:p>
              </w:tc>
              <w:tc>
                <w:tcPr>
                  <w:tcW w:w="1940" w:type="dxa"/>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洗车废水和生活废水日排放量为</w:t>
                  </w:r>
                  <w:r>
                    <w:rPr>
                      <w:rFonts w:hint="eastAsia" w:ascii="Times New Roman" w:hAnsi="Times New Roman" w:cs="Times New Roman"/>
                      <w:color w:val="0C0C0C" w:themeColor="text1" w:themeTint="F2"/>
                      <w:szCs w:val="21"/>
                    </w:rPr>
                    <w:t>1.494</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，虽然</w:t>
                  </w:r>
                  <w:r>
                    <w:rPr>
                      <w:rFonts w:ascii="Times New Roman" w:hAnsi="Times New Roman" w:cs="Times New Roman"/>
                      <w:color w:val="0C0C0C" w:themeColor="text1" w:themeTint="F2"/>
                      <w:szCs w:val="21"/>
                    </w:rPr>
                    <w:t>沉淀池</w:t>
                  </w:r>
                  <w:r>
                    <w:rPr>
                      <w:rFonts w:hint="eastAsia" w:ascii="Times New Roman" w:hAnsi="Times New Roman" w:cs="Times New Roman"/>
                      <w:color w:val="0C0C0C" w:themeColor="text1" w:themeTint="F2"/>
                      <w:szCs w:val="21"/>
                    </w:rPr>
                    <w:t>和化粪池</w:t>
                  </w:r>
                  <w:r>
                    <w:rPr>
                      <w:rFonts w:ascii="Times New Roman" w:hAnsi="Times New Roman" w:cs="Times New Roman"/>
                      <w:color w:val="0C0C0C" w:themeColor="text1" w:themeTint="F2"/>
                      <w:szCs w:val="21"/>
                    </w:rPr>
                    <w:t>面积减小，但满足项目需求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663" w:type="dxa"/>
                  <w:vMerge w:val="continue"/>
                  <w:vAlign w:val="center"/>
                </w:tcPr>
                <w:p>
                  <w:pPr>
                    <w:ind w:firstLine="420" w:firstLineChars="200"/>
                    <w:jc w:val="center"/>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废气处理</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建设1套“过滤棉+活性炭吸附装置+15m排气筒”</w:t>
                  </w:r>
                </w:p>
              </w:tc>
              <w:tc>
                <w:tcPr>
                  <w:tcW w:w="35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建设1套“过滤棉+活性炭吸附装置</w:t>
                  </w:r>
                  <w:r>
                    <w:rPr>
                      <w:rFonts w:ascii="Times New Roman" w:hAnsi="Times New Roman" w:cs="Times New Roman"/>
                      <w:color w:val="000000" w:themeColor="text1"/>
                      <w:szCs w:val="21"/>
                    </w:rPr>
                    <w:t>+10</w:t>
                  </w:r>
                  <w:r>
                    <w:rPr>
                      <w:rFonts w:ascii="Times New Roman" w:hAnsi="Times New Roman" w:cs="Times New Roman"/>
                      <w:color w:val="000000"/>
                      <w:szCs w:val="21"/>
                    </w:rPr>
                    <w:t>m排气筒”</w:t>
                  </w:r>
                </w:p>
              </w:tc>
              <w:tc>
                <w:tcPr>
                  <w:tcW w:w="1940" w:type="dxa"/>
                  <w:vAlign w:val="center"/>
                </w:tcPr>
                <w:p>
                  <w:pPr>
                    <w:rPr>
                      <w:rFonts w:ascii="Times New Roman" w:hAnsi="Times New Roman" w:cs="Times New Roman"/>
                      <w:color w:val="000000"/>
                      <w:szCs w:val="21"/>
                    </w:rPr>
                  </w:pPr>
                  <w:r>
                    <w:rPr>
                      <w:rFonts w:ascii="Times New Roman" w:hAnsi="Times New Roman" w:cs="Times New Roman"/>
                      <w:color w:val="000000"/>
                      <w:szCs w:val="21"/>
                    </w:rPr>
                    <w:t>排气筒高度为10m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63" w:type="dxa"/>
                  <w:vMerge w:val="continue"/>
                  <w:vAlign w:val="center"/>
                </w:tcPr>
                <w:p>
                  <w:pPr>
                    <w:ind w:firstLine="420" w:firstLineChars="200"/>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噪声处理</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建设隔声门窗，并对厂房内设备采取</w:t>
                  </w:r>
                  <w:r>
                    <w:rPr>
                      <w:rFonts w:hint="eastAsia" w:ascii="Times New Roman" w:hAnsi="Times New Roman" w:cs="Times New Roman"/>
                      <w:color w:val="000000"/>
                      <w:szCs w:val="21"/>
                      <w:lang w:eastAsia="zh-CN"/>
                    </w:rPr>
                    <w:t>隔声</w:t>
                  </w:r>
                  <w:r>
                    <w:rPr>
                      <w:rFonts w:ascii="Times New Roman" w:hAnsi="Times New Roman" w:cs="Times New Roman"/>
                      <w:color w:val="000000"/>
                      <w:szCs w:val="21"/>
                    </w:rPr>
                    <w:t>、减震</w:t>
                  </w:r>
                </w:p>
                <w:p>
                  <w:pPr>
                    <w:jc w:val="center"/>
                    <w:rPr>
                      <w:rFonts w:ascii="Times New Roman" w:hAnsi="Times New Roman" w:cs="Times New Roman"/>
                      <w:color w:val="000000"/>
                      <w:szCs w:val="21"/>
                    </w:rPr>
                  </w:pPr>
                  <w:r>
                    <w:rPr>
                      <w:rFonts w:ascii="Times New Roman" w:hAnsi="Times New Roman" w:cs="Times New Roman"/>
                      <w:color w:val="000000"/>
                      <w:szCs w:val="21"/>
                    </w:rPr>
                    <w:t>措施</w:t>
                  </w:r>
                </w:p>
              </w:tc>
              <w:tc>
                <w:tcPr>
                  <w:tcW w:w="35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厂房隔声、设备减震</w:t>
                  </w:r>
                </w:p>
              </w:tc>
              <w:tc>
                <w:tcPr>
                  <w:tcW w:w="19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ind w:firstLine="420" w:firstLineChars="200"/>
                    <w:rPr>
                      <w:rFonts w:ascii="Times New Roman" w:hAnsi="Times New Roman" w:cs="Times New Roman"/>
                      <w:color w:val="000000"/>
                      <w:szCs w:val="21"/>
                    </w:rPr>
                  </w:pPr>
                </w:p>
              </w:tc>
              <w:tc>
                <w:tcPr>
                  <w:tcW w:w="162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固废处置</w:t>
                  </w:r>
                </w:p>
              </w:tc>
              <w:tc>
                <w:tcPr>
                  <w:tcW w:w="4849" w:type="dxa"/>
                  <w:gridSpan w:val="2"/>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一般固废暂存间（10㎡）及危废暂存间（10㎡）</w:t>
                  </w:r>
                </w:p>
              </w:tc>
              <w:tc>
                <w:tcPr>
                  <w:tcW w:w="3535" w:type="dxa"/>
                  <w:vAlign w:val="center"/>
                </w:tcPr>
                <w:p>
                  <w:pPr>
                    <w:jc w:val="center"/>
                    <w:rPr>
                      <w:rFonts w:ascii="Times New Roman" w:hAnsi="Times New Roman" w:cs="Times New Roman"/>
                      <w:color w:val="000000"/>
                      <w:szCs w:val="21"/>
                    </w:rPr>
                  </w:pPr>
                  <w:r>
                    <w:rPr>
                      <w:rFonts w:ascii="Times New Roman" w:hAnsi="Times New Roman" w:cs="Times New Roman"/>
                      <w:color w:val="000000" w:themeColor="text1"/>
                      <w:szCs w:val="21"/>
                    </w:rPr>
                    <w:t>2个危废暂存间（8m</w:t>
                  </w:r>
                  <w:r>
                    <w:rPr>
                      <w:rFonts w:ascii="Times New Roman" w:hAnsi="Times New Roman" w:cs="Times New Roman"/>
                      <w:color w:val="000000" w:themeColor="text1"/>
                      <w:szCs w:val="21"/>
                      <w:vertAlign w:val="superscript"/>
                    </w:rPr>
                    <w:t>2</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0</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2</w:t>
                  </w:r>
                  <w:r>
                    <w:rPr>
                      <w:rFonts w:ascii="Times New Roman" w:hAnsi="Times New Roman" w:cs="Times New Roman"/>
                      <w:color w:val="000000" w:themeColor="text1"/>
                      <w:szCs w:val="21"/>
                    </w:rPr>
                    <w:t>）</w:t>
                  </w:r>
                </w:p>
              </w:tc>
              <w:tc>
                <w:tcPr>
                  <w:tcW w:w="19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固废间未建，固废一般堆放在废件仓库，危废间面积扩大</w:t>
                  </w:r>
                </w:p>
              </w:tc>
            </w:tr>
          </w:tbl>
          <w:p>
            <w:pPr>
              <w:pStyle w:val="2"/>
              <w:jc w:val="both"/>
              <w:outlineLvl w:val="0"/>
              <w:rPr>
                <w:rFonts w:hint="default" w:ascii="Times New Roman" w:hAnsi="Times New Roman" w:cs="Times New Roman"/>
                <w:b/>
                <w:bCs/>
                <w:sz w:val="30"/>
                <w:szCs w:val="30"/>
              </w:rPr>
            </w:pPr>
          </w:p>
        </w:tc>
      </w:tr>
    </w:tbl>
    <w:p>
      <w:pPr>
        <w:pStyle w:val="2"/>
        <w:jc w:val="both"/>
        <w:outlineLvl w:val="0"/>
        <w:rPr>
          <w:rFonts w:hint="default" w:ascii="Times New Roman" w:hAnsi="Times New Roman" w:cs="Times New Roman"/>
          <w:b/>
          <w:bCs/>
          <w:sz w:val="30"/>
          <w:szCs w:val="30"/>
        </w:rPr>
        <w:sectPr>
          <w:pgSz w:w="16838" w:h="11906" w:orient="landscape"/>
          <w:pgMar w:top="1800" w:right="1440" w:bottom="1800" w:left="1440" w:header="851" w:footer="992" w:gutter="0"/>
          <w:cols w:space="425" w:num="1"/>
          <w:docGrid w:type="lines" w:linePitch="312" w:charSpace="0"/>
        </w:sectPr>
      </w:pPr>
    </w:p>
    <w:tbl>
      <w:tblPr>
        <w:tblStyle w:val="17"/>
        <w:tblW w:w="85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1" w:hRule="atLeast"/>
        </w:trPr>
        <w:tc>
          <w:tcPr>
            <w:tcW w:w="8509" w:type="dxa"/>
          </w:tcPr>
          <w:p>
            <w:pPr>
              <w:pStyle w:val="4"/>
              <w:spacing w:line="360" w:lineRule="auto"/>
              <w:rPr>
                <w:rFonts w:ascii="Times New Roman" w:hAnsi="Times New Roman" w:eastAsia="宋体" w:cs="Times New Roman"/>
                <w:sz w:val="24"/>
              </w:rPr>
            </w:pPr>
            <w:bookmarkStart w:id="4" w:name="_Toc508696660"/>
            <w:r>
              <w:rPr>
                <w:rFonts w:ascii="Times New Roman" w:hAnsi="Times New Roman" w:eastAsia="宋体" w:cs="Times New Roman"/>
                <w:sz w:val="24"/>
              </w:rPr>
              <w:t>4.3、主要原辅材料</w:t>
            </w:r>
            <w:bookmarkEnd w:id="4"/>
            <w:r>
              <w:rPr>
                <w:rFonts w:ascii="Times New Roman" w:hAnsi="Times New Roman" w:eastAsia="宋体" w:cs="Times New Roman"/>
                <w:sz w:val="24"/>
              </w:rPr>
              <w:t>消耗</w:t>
            </w:r>
          </w:p>
          <w:p>
            <w:pPr>
              <w:jc w:val="center"/>
              <w:rPr>
                <w:rFonts w:ascii="Times New Roman" w:hAnsi="Times New Roman" w:cs="Times New Roman"/>
                <w:szCs w:val="21"/>
              </w:rPr>
            </w:pPr>
            <w:r>
              <w:rPr>
                <w:rFonts w:ascii="Times New Roman" w:hAnsi="Times New Roman" w:cs="Times New Roman"/>
                <w:b/>
                <w:bCs/>
              </w:rPr>
              <w:t>表4.3-1</w:t>
            </w:r>
            <w:r>
              <w:rPr>
                <w:rFonts w:ascii="Times New Roman" w:hAnsi="Times New Roman" w:cs="Times New Roman"/>
                <w:b/>
                <w:bCs/>
                <w:szCs w:val="21"/>
              </w:rPr>
              <w:t>原辅材料情况表</w:t>
            </w:r>
          </w:p>
          <w:tbl>
            <w:tblPr>
              <w:tblStyle w:val="16"/>
              <w:tblW w:w="85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603"/>
              <w:gridCol w:w="1512"/>
              <w:gridCol w:w="1608"/>
              <w:gridCol w:w="1935"/>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restart"/>
                  <w:tcBorders>
                    <w:tl2br w:val="nil"/>
                    <w:tr2bl w:val="nil"/>
                  </w:tcBorders>
                  <w:noWrap/>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603" w:type="dxa"/>
                  <w:vMerge w:val="restart"/>
                  <w:tcBorders>
                    <w:tl2br w:val="nil"/>
                    <w:tr2bl w:val="nil"/>
                  </w:tcBorders>
                  <w:noWrap/>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物料名称</w:t>
                  </w:r>
                </w:p>
              </w:tc>
              <w:tc>
                <w:tcPr>
                  <w:tcW w:w="1512" w:type="dxa"/>
                  <w:vMerge w:val="restart"/>
                  <w:tcBorders>
                    <w:tl2br w:val="nil"/>
                    <w:tr2bl w:val="nil"/>
                  </w:tcBorders>
                  <w:noWrap/>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环评年耗量</w:t>
                  </w:r>
                </w:p>
              </w:tc>
              <w:tc>
                <w:tcPr>
                  <w:tcW w:w="3543" w:type="dxa"/>
                  <w:gridSpan w:val="2"/>
                  <w:tcBorders>
                    <w:tl2br w:val="nil"/>
                    <w:tr2bl w:val="nil"/>
                  </w:tcBorders>
                  <w:noWrap/>
                  <w:vAlign w:val="center"/>
                </w:tcPr>
                <w:p>
                  <w:pPr>
                    <w:pStyle w:val="2"/>
                    <w:jc w:val="both"/>
                    <w:rPr>
                      <w:rFonts w:hint="default" w:ascii="Times New Roman" w:hAnsi="Times New Roman" w:cs="Times New Roman"/>
                      <w:b/>
                      <w:bCs/>
                      <w:sz w:val="21"/>
                      <w:szCs w:val="21"/>
                    </w:rPr>
                  </w:pPr>
                  <w:r>
                    <w:rPr>
                      <w:rFonts w:hint="default" w:ascii="Times New Roman" w:hAnsi="Times New Roman" w:cs="Times New Roman"/>
                      <w:b/>
                      <w:bCs/>
                      <w:sz w:val="21"/>
                      <w:szCs w:val="21"/>
                    </w:rPr>
                    <w:t>验收监测期间（5月17日和5月18日）</w:t>
                  </w:r>
                </w:p>
              </w:tc>
              <w:tc>
                <w:tcPr>
                  <w:tcW w:w="969" w:type="dxa"/>
                  <w:vMerge w:val="restart"/>
                  <w:tcBorders>
                    <w:tl2br w:val="nil"/>
                    <w:tr2bl w:val="nil"/>
                  </w:tcBorders>
                  <w:noWrap/>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c>
                <w:tcPr>
                  <w:tcW w:w="1603"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c>
                <w:tcPr>
                  <w:tcW w:w="1512"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c>
                <w:tcPr>
                  <w:tcW w:w="1608" w:type="dxa"/>
                  <w:tcBorders>
                    <w:tl2br w:val="nil"/>
                    <w:tr2bl w:val="nil"/>
                  </w:tcBorders>
                  <w:noWrap/>
                  <w:vAlign w:val="center"/>
                </w:tcPr>
                <w:p>
                  <w:pPr>
                    <w:pStyle w:val="2"/>
                    <w:jc w:val="center"/>
                    <w:rPr>
                      <w:rFonts w:hint="default" w:ascii="Times New Roman" w:hAnsi="Times New Roman" w:cs="Times New Roman"/>
                      <w:color w:val="0000FF"/>
                      <w:sz w:val="21"/>
                      <w:szCs w:val="21"/>
                    </w:rPr>
                  </w:pPr>
                  <w:r>
                    <w:rPr>
                      <w:rFonts w:hint="default" w:ascii="Times New Roman" w:hAnsi="Times New Roman" w:cs="Times New Roman"/>
                      <w:b/>
                      <w:bCs/>
                      <w:color w:val="auto"/>
                      <w:sz w:val="21"/>
                      <w:szCs w:val="21"/>
                    </w:rPr>
                    <w:t>5.17</w:t>
                  </w:r>
                </w:p>
              </w:tc>
              <w:tc>
                <w:tcPr>
                  <w:tcW w:w="1935" w:type="dxa"/>
                  <w:tcBorders>
                    <w:tl2br w:val="nil"/>
                    <w:tr2bl w:val="nil"/>
                  </w:tcBorders>
                  <w:noWrap/>
                  <w:vAlign w:val="center"/>
                </w:tcPr>
                <w:p>
                  <w:pPr>
                    <w:pStyle w:val="2"/>
                    <w:jc w:val="center"/>
                    <w:rPr>
                      <w:rFonts w:hint="default" w:ascii="Times New Roman" w:hAnsi="Times New Roman" w:cs="Times New Roman"/>
                      <w:color w:val="0000FF"/>
                      <w:sz w:val="21"/>
                      <w:szCs w:val="21"/>
                    </w:rPr>
                  </w:pPr>
                  <w:r>
                    <w:rPr>
                      <w:rFonts w:hint="default" w:ascii="Times New Roman" w:hAnsi="Times New Roman" w:cs="Times New Roman"/>
                      <w:b/>
                      <w:bCs/>
                      <w:color w:val="auto"/>
                      <w:sz w:val="21"/>
                      <w:szCs w:val="21"/>
                    </w:rPr>
                    <w:t>5.18</w:t>
                  </w:r>
                </w:p>
              </w:tc>
              <w:tc>
                <w:tcPr>
                  <w:tcW w:w="969"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603"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底漆</w:t>
                  </w:r>
                </w:p>
              </w:tc>
              <w:tc>
                <w:tcPr>
                  <w:tcW w:w="1512"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75kg</w:t>
                  </w:r>
                </w:p>
              </w:tc>
              <w:tc>
                <w:tcPr>
                  <w:tcW w:w="1608"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200g</w:t>
                  </w:r>
                </w:p>
              </w:tc>
              <w:tc>
                <w:tcPr>
                  <w:tcW w:w="1935"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100g</w:t>
                  </w:r>
                </w:p>
              </w:tc>
              <w:tc>
                <w:tcPr>
                  <w:tcW w:w="969" w:type="dxa"/>
                  <w:vMerge w:val="restart"/>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603"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面漆</w:t>
                  </w:r>
                </w:p>
              </w:tc>
              <w:tc>
                <w:tcPr>
                  <w:tcW w:w="1512"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150kg</w:t>
                  </w:r>
                </w:p>
              </w:tc>
              <w:tc>
                <w:tcPr>
                  <w:tcW w:w="1608"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350g</w:t>
                  </w:r>
                </w:p>
              </w:tc>
              <w:tc>
                <w:tcPr>
                  <w:tcW w:w="1935"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200g</w:t>
                  </w:r>
                </w:p>
              </w:tc>
              <w:tc>
                <w:tcPr>
                  <w:tcW w:w="969"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603"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稀释剂</w:t>
                  </w:r>
                </w:p>
              </w:tc>
              <w:tc>
                <w:tcPr>
                  <w:tcW w:w="1512"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75kg</w:t>
                  </w:r>
                </w:p>
              </w:tc>
              <w:tc>
                <w:tcPr>
                  <w:tcW w:w="1608"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100g</w:t>
                  </w:r>
                </w:p>
              </w:tc>
              <w:tc>
                <w:tcPr>
                  <w:tcW w:w="1935"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50g</w:t>
                  </w:r>
                </w:p>
              </w:tc>
              <w:tc>
                <w:tcPr>
                  <w:tcW w:w="969"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603"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固化剂</w:t>
                  </w:r>
                </w:p>
              </w:tc>
              <w:tc>
                <w:tcPr>
                  <w:tcW w:w="1512"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15kg</w:t>
                  </w:r>
                </w:p>
              </w:tc>
              <w:tc>
                <w:tcPr>
                  <w:tcW w:w="1608"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10g</w:t>
                  </w:r>
                </w:p>
              </w:tc>
              <w:tc>
                <w:tcPr>
                  <w:tcW w:w="1935"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5g</w:t>
                  </w:r>
                </w:p>
              </w:tc>
              <w:tc>
                <w:tcPr>
                  <w:tcW w:w="969"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603"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机油</w:t>
                  </w:r>
                </w:p>
              </w:tc>
              <w:tc>
                <w:tcPr>
                  <w:tcW w:w="1512" w:type="dxa"/>
                  <w:tcBorders>
                    <w:tl2br w:val="nil"/>
                    <w:tr2bl w:val="nil"/>
                  </w:tcBorders>
                  <w:noWrap/>
                  <w:vAlign w:val="center"/>
                </w:tcPr>
                <w:p>
                  <w:pPr>
                    <w:widowControl/>
                    <w:jc w:val="center"/>
                    <w:rPr>
                      <w:rFonts w:ascii="Times New Roman" w:hAnsi="Times New Roman" w:cs="Times New Roman"/>
                      <w:szCs w:val="21"/>
                    </w:rPr>
                  </w:pPr>
                  <w:r>
                    <w:rPr>
                      <w:rFonts w:ascii="Times New Roman" w:hAnsi="Times New Roman" w:cs="Times New Roman"/>
                      <w:color w:val="000000"/>
                      <w:kern w:val="0"/>
                      <w:szCs w:val="21"/>
                    </w:rPr>
                    <w:t>4320L(4L/瓶)</w:t>
                  </w:r>
                </w:p>
                <w:p>
                  <w:pPr>
                    <w:pStyle w:val="2"/>
                    <w:jc w:val="center"/>
                    <w:rPr>
                      <w:rFonts w:hint="default" w:ascii="Times New Roman" w:hAnsi="Times New Roman" w:cs="Times New Roman"/>
                      <w:sz w:val="21"/>
                      <w:szCs w:val="21"/>
                    </w:rPr>
                  </w:pPr>
                </w:p>
              </w:tc>
              <w:tc>
                <w:tcPr>
                  <w:tcW w:w="1608"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8L</w:t>
                  </w:r>
                </w:p>
              </w:tc>
              <w:tc>
                <w:tcPr>
                  <w:tcW w:w="1935"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10L</w:t>
                  </w:r>
                </w:p>
              </w:tc>
              <w:tc>
                <w:tcPr>
                  <w:tcW w:w="969"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603"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零配件</w:t>
                  </w:r>
                </w:p>
              </w:tc>
              <w:tc>
                <w:tcPr>
                  <w:tcW w:w="1512" w:type="dxa"/>
                  <w:tcBorders>
                    <w:tl2br w:val="nil"/>
                    <w:tr2bl w:val="nil"/>
                  </w:tcBorders>
                  <w:noWrap/>
                  <w:vAlign w:val="center"/>
                </w:tcPr>
                <w:p>
                  <w:pPr>
                    <w:widowControl/>
                    <w:jc w:val="center"/>
                    <w:rPr>
                      <w:rFonts w:ascii="Times New Roman" w:hAnsi="Times New Roman" w:cs="Times New Roman"/>
                      <w:szCs w:val="21"/>
                    </w:rPr>
                  </w:pPr>
                  <w:r>
                    <w:rPr>
                      <w:rFonts w:ascii="Times New Roman" w:hAnsi="Times New Roman" w:cs="Times New Roman"/>
                      <w:color w:val="000000"/>
                      <w:kern w:val="0"/>
                      <w:szCs w:val="21"/>
                    </w:rPr>
                    <w:t>5000 件</w:t>
                  </w:r>
                </w:p>
                <w:p>
                  <w:pPr>
                    <w:pStyle w:val="2"/>
                    <w:jc w:val="center"/>
                    <w:rPr>
                      <w:rFonts w:hint="default" w:ascii="Times New Roman" w:hAnsi="Times New Roman" w:cs="Times New Roman"/>
                      <w:sz w:val="21"/>
                      <w:szCs w:val="21"/>
                    </w:rPr>
                  </w:pPr>
                </w:p>
              </w:tc>
              <w:tc>
                <w:tcPr>
                  <w:tcW w:w="1608"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10件</w:t>
                  </w:r>
                </w:p>
              </w:tc>
              <w:tc>
                <w:tcPr>
                  <w:tcW w:w="1935"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15件</w:t>
                  </w:r>
                </w:p>
              </w:tc>
              <w:tc>
                <w:tcPr>
                  <w:tcW w:w="969"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603"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实芯焊丝</w:t>
                  </w:r>
                </w:p>
              </w:tc>
              <w:tc>
                <w:tcPr>
                  <w:tcW w:w="1512" w:type="dxa"/>
                  <w:tcBorders>
                    <w:tl2br w:val="nil"/>
                    <w:tr2bl w:val="nil"/>
                  </w:tcBorders>
                  <w:noWrap/>
                  <w:vAlign w:val="center"/>
                </w:tcPr>
                <w:p>
                  <w:pPr>
                    <w:widowControl/>
                    <w:jc w:val="center"/>
                    <w:rPr>
                      <w:rFonts w:ascii="Times New Roman" w:hAnsi="Times New Roman" w:cs="Times New Roman"/>
                      <w:szCs w:val="21"/>
                    </w:rPr>
                  </w:pPr>
                  <w:r>
                    <w:rPr>
                      <w:rFonts w:ascii="Times New Roman" w:hAnsi="Times New Roman" w:cs="Times New Roman"/>
                      <w:color w:val="000000"/>
                      <w:kern w:val="0"/>
                      <w:szCs w:val="21"/>
                    </w:rPr>
                    <w:t>30kg</w:t>
                  </w:r>
                </w:p>
              </w:tc>
              <w:tc>
                <w:tcPr>
                  <w:tcW w:w="1608"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0.01kg</w:t>
                  </w:r>
                </w:p>
              </w:tc>
              <w:tc>
                <w:tcPr>
                  <w:tcW w:w="1935"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0.01kg</w:t>
                  </w:r>
                </w:p>
              </w:tc>
              <w:tc>
                <w:tcPr>
                  <w:tcW w:w="969"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603"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二氧化碳</w:t>
                  </w:r>
                </w:p>
              </w:tc>
              <w:tc>
                <w:tcPr>
                  <w:tcW w:w="1512" w:type="dxa"/>
                  <w:tcBorders>
                    <w:tl2br w:val="nil"/>
                    <w:tr2bl w:val="nil"/>
                  </w:tcBorders>
                  <w:noWrap/>
                  <w:vAlign w:val="center"/>
                </w:tcPr>
                <w:p>
                  <w:pPr>
                    <w:widowControl/>
                    <w:rPr>
                      <w:rFonts w:ascii="Times New Roman" w:hAnsi="Times New Roman" w:cs="Times New Roman"/>
                      <w:color w:val="000000"/>
                      <w:kern w:val="0"/>
                      <w:szCs w:val="21"/>
                    </w:rPr>
                  </w:pPr>
                </w:p>
                <w:p>
                  <w:pPr>
                    <w:widowControl/>
                    <w:jc w:val="center"/>
                    <w:rPr>
                      <w:rFonts w:ascii="Times New Roman" w:hAnsi="Times New Roman" w:cs="Times New Roman"/>
                      <w:szCs w:val="21"/>
                    </w:rPr>
                  </w:pPr>
                  <w:r>
                    <w:rPr>
                      <w:rFonts w:ascii="Times New Roman" w:hAnsi="Times New Roman" w:cs="Times New Roman"/>
                      <w:color w:val="000000"/>
                      <w:kern w:val="0"/>
                      <w:szCs w:val="21"/>
                    </w:rPr>
                    <w:t>30kg(15kg/瓶)</w:t>
                  </w:r>
                </w:p>
                <w:p>
                  <w:pPr>
                    <w:pStyle w:val="2"/>
                    <w:jc w:val="center"/>
                    <w:rPr>
                      <w:rFonts w:hint="default" w:ascii="Times New Roman" w:hAnsi="Times New Roman" w:cs="Times New Roman"/>
                      <w:sz w:val="21"/>
                      <w:szCs w:val="21"/>
                    </w:rPr>
                  </w:pPr>
                </w:p>
              </w:tc>
              <w:tc>
                <w:tcPr>
                  <w:tcW w:w="1608"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0.05kg</w:t>
                  </w:r>
                </w:p>
              </w:tc>
              <w:tc>
                <w:tcPr>
                  <w:tcW w:w="1935" w:type="dxa"/>
                  <w:tcBorders>
                    <w:tl2br w:val="nil"/>
                    <w:tr2bl w:val="nil"/>
                  </w:tcBorders>
                  <w:noWrap/>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0.05kg</w:t>
                  </w:r>
                </w:p>
              </w:tc>
              <w:tc>
                <w:tcPr>
                  <w:tcW w:w="969" w:type="dxa"/>
                  <w:vMerge w:val="continue"/>
                  <w:tcBorders>
                    <w:tl2br w:val="nil"/>
                    <w:tr2bl w:val="nil"/>
                  </w:tcBorders>
                  <w:noWrap/>
                  <w:vAlign w:val="center"/>
                </w:tcPr>
                <w:p>
                  <w:pPr>
                    <w:pStyle w:val="2"/>
                    <w:jc w:val="center"/>
                    <w:rPr>
                      <w:rFonts w:hint="default" w:ascii="Times New Roman" w:hAnsi="Times New Roman" w:cs="Times New Roman"/>
                      <w:sz w:val="21"/>
                      <w:szCs w:val="21"/>
                    </w:rPr>
                  </w:pPr>
                </w:p>
              </w:tc>
            </w:tr>
          </w:tbl>
          <w:p>
            <w:pPr>
              <w:pStyle w:val="4"/>
              <w:spacing w:line="360" w:lineRule="auto"/>
              <w:rPr>
                <w:rFonts w:ascii="Times New Roman" w:hAnsi="Times New Roman" w:eastAsia="宋体" w:cs="Times New Roman"/>
                <w:sz w:val="24"/>
              </w:rPr>
            </w:pPr>
            <w:bookmarkStart w:id="5" w:name="_Toc508696662"/>
            <w:r>
              <w:rPr>
                <w:rFonts w:ascii="Times New Roman" w:hAnsi="Times New Roman" w:eastAsia="宋体" w:cs="Times New Roman"/>
                <w:sz w:val="24"/>
              </w:rPr>
              <w:t>4.4、项目环保投资情况</w:t>
            </w:r>
          </w:p>
          <w:p>
            <w:pPr>
              <w:jc w:val="center"/>
              <w:rPr>
                <w:rFonts w:ascii="Times New Roman" w:hAnsi="Times New Roman" w:cs="Times New Roman"/>
                <w:szCs w:val="21"/>
              </w:rPr>
            </w:pPr>
            <w:r>
              <w:rPr>
                <w:rFonts w:ascii="Times New Roman" w:hAnsi="Times New Roman" w:cs="Times New Roman"/>
                <w:b/>
                <w:bCs/>
              </w:rPr>
              <w:t>表4.4-1</w:t>
            </w:r>
            <w:r>
              <w:rPr>
                <w:rFonts w:ascii="Times New Roman" w:hAnsi="Times New Roman" w:cs="Times New Roman"/>
                <w:b/>
                <w:bCs/>
                <w:szCs w:val="21"/>
              </w:rPr>
              <w:t>项目环保投资一览表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56"/>
              <w:gridCol w:w="2513"/>
              <w:gridCol w:w="1123"/>
              <w:gridCol w:w="1932"/>
              <w:gridCol w:w="12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1"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类别</w:t>
                  </w: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治理对象</w:t>
                  </w:r>
                </w:p>
              </w:tc>
              <w:tc>
                <w:tcPr>
                  <w:tcW w:w="251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环评建设内容</w:t>
                  </w:r>
                </w:p>
              </w:tc>
              <w:tc>
                <w:tcPr>
                  <w:tcW w:w="112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计划投资（万元）</w:t>
                  </w:r>
                </w:p>
              </w:tc>
              <w:tc>
                <w:tcPr>
                  <w:tcW w:w="1932"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实际环保建设内容</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实际投资（万元）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废水</w:t>
                  </w: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生活废水</w:t>
                  </w:r>
                </w:p>
              </w:tc>
              <w:tc>
                <w:tcPr>
                  <w:tcW w:w="251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1座100m³化粪池及配套管网系统</w:t>
                  </w:r>
                </w:p>
              </w:tc>
              <w:tc>
                <w:tcPr>
                  <w:tcW w:w="112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10</w:t>
                  </w:r>
                </w:p>
              </w:tc>
              <w:tc>
                <w:tcPr>
                  <w:tcW w:w="1932"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2座</w:t>
                  </w:r>
                  <w:r>
                    <w:rPr>
                      <w:rFonts w:hint="eastAsia" w:ascii="Times New Roman" w:hAnsi="Times New Roman" w:cs="Times New Roman"/>
                      <w:szCs w:val="21"/>
                    </w:rPr>
                    <w:t>24</w:t>
                  </w:r>
                  <w:r>
                    <w:rPr>
                      <w:rFonts w:ascii="Times New Roman" w:hAnsi="Times New Roman" w:cs="Times New Roman"/>
                      <w:szCs w:val="21"/>
                    </w:rPr>
                    <w:t>m³化粪池及配套管网系统</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dxa"/>
                  <w:vMerge w:val="restart"/>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废气</w:t>
                  </w: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洗车废水</w:t>
                  </w:r>
                </w:p>
              </w:tc>
              <w:tc>
                <w:tcPr>
                  <w:tcW w:w="251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1座50m³隔油沉淀池及配套管网系统</w:t>
                  </w:r>
                </w:p>
              </w:tc>
              <w:tc>
                <w:tcPr>
                  <w:tcW w:w="112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5</w:t>
                  </w:r>
                </w:p>
              </w:tc>
              <w:tc>
                <w:tcPr>
                  <w:tcW w:w="1932"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1座20m³隔油沉淀池及配套管网系统</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dxa"/>
                  <w:vMerge w:val="continue"/>
                  <w:tcBorders>
                    <w:tl2br w:val="nil"/>
                    <w:tr2bl w:val="nil"/>
                  </w:tcBorders>
                  <w:noWrap/>
                  <w:vAlign w:val="center"/>
                </w:tcPr>
                <w:p>
                  <w:pPr>
                    <w:spacing w:line="240" w:lineRule="auto"/>
                    <w:jc w:val="center"/>
                    <w:rPr>
                      <w:rFonts w:ascii="Times New Roman" w:hAnsi="Times New Roman" w:cs="Times New Roman"/>
                      <w:szCs w:val="21"/>
                    </w:rPr>
                  </w:pP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油漆废气</w:t>
                  </w:r>
                </w:p>
              </w:tc>
              <w:tc>
                <w:tcPr>
                  <w:tcW w:w="251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过滤棉+活性炭+15米排气筒</w:t>
                  </w:r>
                </w:p>
              </w:tc>
              <w:tc>
                <w:tcPr>
                  <w:tcW w:w="112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25</w:t>
                  </w:r>
                </w:p>
              </w:tc>
              <w:tc>
                <w:tcPr>
                  <w:tcW w:w="1932"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过滤棉+活性炭+10米排气筒</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1" w:type="dxa"/>
                  <w:vMerge w:val="restart"/>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固废</w:t>
                  </w: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生活垃圾</w:t>
                  </w:r>
                </w:p>
              </w:tc>
              <w:tc>
                <w:tcPr>
                  <w:tcW w:w="251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车间及办公室设置生活垃圾桶</w:t>
                  </w:r>
                </w:p>
              </w:tc>
              <w:tc>
                <w:tcPr>
                  <w:tcW w:w="112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1.0</w:t>
                  </w:r>
                </w:p>
              </w:tc>
              <w:tc>
                <w:tcPr>
                  <w:tcW w:w="1932"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车间及办公室设置生活垃圾桶</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1" w:type="dxa"/>
                  <w:vMerge w:val="continue"/>
                  <w:tcBorders>
                    <w:tl2br w:val="nil"/>
                    <w:tr2bl w:val="nil"/>
                  </w:tcBorders>
                  <w:noWrap/>
                  <w:vAlign w:val="center"/>
                </w:tcPr>
                <w:p>
                  <w:pPr>
                    <w:spacing w:line="240" w:lineRule="auto"/>
                    <w:jc w:val="center"/>
                    <w:rPr>
                      <w:rFonts w:ascii="Times New Roman" w:hAnsi="Times New Roman" w:cs="Times New Roman"/>
                      <w:szCs w:val="21"/>
                    </w:rPr>
                  </w:pP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废零部件</w:t>
                  </w:r>
                </w:p>
              </w:tc>
              <w:tc>
                <w:tcPr>
                  <w:tcW w:w="2513" w:type="dxa"/>
                  <w:tcBorders>
                    <w:tl2br w:val="nil"/>
                    <w:tr2bl w:val="nil"/>
                  </w:tcBorders>
                  <w:noWrap/>
                  <w:vAlign w:val="center"/>
                </w:tcPr>
                <w:p>
                  <w:pPr>
                    <w:widowControl/>
                    <w:spacing w:line="240" w:lineRule="auto"/>
                    <w:jc w:val="center"/>
                    <w:rPr>
                      <w:rFonts w:ascii="Times New Roman" w:hAnsi="Times New Roman" w:cs="Times New Roman"/>
                      <w:szCs w:val="21"/>
                    </w:rPr>
                  </w:pPr>
                  <w:r>
                    <w:rPr>
                      <w:rFonts w:ascii="Times New Roman" w:hAnsi="Times New Roman" w:cs="Times New Roman"/>
                      <w:color w:val="000000"/>
                      <w:kern w:val="0"/>
                      <w:szCs w:val="21"/>
                    </w:rPr>
                    <w:t>维修车间东侧建设 1 座废件仓库，定期</w:t>
                  </w:r>
                </w:p>
                <w:p>
                  <w:pPr>
                    <w:widowControl/>
                    <w:spacing w:line="240" w:lineRule="auto"/>
                    <w:jc w:val="center"/>
                    <w:rPr>
                      <w:rFonts w:ascii="Times New Roman" w:hAnsi="Times New Roman" w:cs="Times New Roman"/>
                      <w:color w:val="000000"/>
                      <w:kern w:val="0"/>
                      <w:szCs w:val="21"/>
                    </w:rPr>
                  </w:pPr>
                  <w:r>
                    <w:rPr>
                      <w:rFonts w:ascii="Times New Roman" w:hAnsi="Times New Roman" w:cs="Times New Roman"/>
                      <w:color w:val="000000"/>
                      <w:kern w:val="0"/>
                      <w:szCs w:val="21"/>
                    </w:rPr>
                    <w:t>外卖至废品回收处</w:t>
                  </w:r>
                </w:p>
              </w:tc>
              <w:tc>
                <w:tcPr>
                  <w:tcW w:w="112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2.0</w:t>
                  </w:r>
                </w:p>
              </w:tc>
              <w:tc>
                <w:tcPr>
                  <w:tcW w:w="1932" w:type="dxa"/>
                  <w:tcBorders>
                    <w:tl2br w:val="nil"/>
                    <w:tr2bl w:val="nil"/>
                  </w:tcBorders>
                  <w:noWrap/>
                  <w:vAlign w:val="center"/>
                </w:tcPr>
                <w:p>
                  <w:pPr>
                    <w:widowControl/>
                    <w:spacing w:line="240" w:lineRule="auto"/>
                    <w:jc w:val="center"/>
                    <w:rPr>
                      <w:rFonts w:ascii="Times New Roman" w:hAnsi="Times New Roman" w:cs="Times New Roman"/>
                      <w:szCs w:val="21"/>
                    </w:rPr>
                  </w:pPr>
                  <w:r>
                    <w:rPr>
                      <w:rFonts w:ascii="Times New Roman" w:hAnsi="Times New Roman" w:cs="Times New Roman"/>
                      <w:color w:val="000000"/>
                      <w:kern w:val="0"/>
                      <w:szCs w:val="21"/>
                    </w:rPr>
                    <w:t>维修车间东侧建设 1 座废件仓库，定期</w:t>
                  </w:r>
                </w:p>
                <w:p>
                  <w:pPr>
                    <w:widowControl/>
                    <w:spacing w:line="240" w:lineRule="auto"/>
                    <w:jc w:val="center"/>
                    <w:rPr>
                      <w:rFonts w:ascii="Times New Roman" w:hAnsi="Times New Roman" w:cs="Times New Roman"/>
                      <w:szCs w:val="21"/>
                    </w:rPr>
                  </w:pPr>
                  <w:r>
                    <w:rPr>
                      <w:rFonts w:ascii="Times New Roman" w:hAnsi="Times New Roman" w:cs="Times New Roman"/>
                      <w:color w:val="000000"/>
                      <w:kern w:val="0"/>
                      <w:szCs w:val="21"/>
                    </w:rPr>
                    <w:t>外卖至废品回收处</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1" w:type="dxa"/>
                  <w:vMerge w:val="continue"/>
                  <w:tcBorders>
                    <w:tl2br w:val="nil"/>
                    <w:tr2bl w:val="nil"/>
                  </w:tcBorders>
                  <w:noWrap/>
                  <w:vAlign w:val="center"/>
                </w:tcPr>
                <w:p>
                  <w:pPr>
                    <w:spacing w:line="240" w:lineRule="auto"/>
                    <w:jc w:val="center"/>
                    <w:rPr>
                      <w:rFonts w:ascii="Times New Roman" w:hAnsi="Times New Roman" w:cs="Times New Roman"/>
                      <w:szCs w:val="21"/>
                    </w:rPr>
                  </w:pP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废矿物油、废活性炭、废过滤棉</w:t>
                  </w:r>
                </w:p>
              </w:tc>
              <w:tc>
                <w:tcPr>
                  <w:tcW w:w="2513" w:type="dxa"/>
                  <w:tcBorders>
                    <w:tl2br w:val="nil"/>
                    <w:tr2bl w:val="nil"/>
                  </w:tcBorders>
                  <w:noWrap/>
                  <w:vAlign w:val="center"/>
                </w:tcPr>
                <w:p>
                  <w:pPr>
                    <w:widowControl/>
                    <w:spacing w:line="240" w:lineRule="auto"/>
                    <w:jc w:val="center"/>
                    <w:rPr>
                      <w:rFonts w:ascii="Times New Roman" w:hAnsi="Times New Roman" w:cs="Times New Roman"/>
                      <w:szCs w:val="21"/>
                    </w:rPr>
                  </w:pPr>
                  <w:r>
                    <w:rPr>
                      <w:rFonts w:ascii="Times New Roman" w:hAnsi="Times New Roman" w:cs="Times New Roman"/>
                      <w:color w:val="000000"/>
                      <w:kern w:val="0"/>
                      <w:szCs w:val="21"/>
                    </w:rPr>
                    <w:t>维修车间东南侧建设1座危废暂存间，交</w:t>
                  </w:r>
                </w:p>
                <w:p>
                  <w:pPr>
                    <w:widowControl/>
                    <w:spacing w:line="240" w:lineRule="auto"/>
                    <w:jc w:val="center"/>
                    <w:rPr>
                      <w:rFonts w:ascii="Times New Roman" w:hAnsi="Times New Roman" w:cs="Times New Roman"/>
                      <w:szCs w:val="21"/>
                    </w:rPr>
                  </w:pPr>
                  <w:r>
                    <w:rPr>
                      <w:rFonts w:ascii="Times New Roman" w:hAnsi="Times New Roman" w:cs="Times New Roman"/>
                      <w:color w:val="000000"/>
                      <w:kern w:val="0"/>
                      <w:szCs w:val="21"/>
                    </w:rPr>
                    <w:t>由有危废处理资质的单位处置</w:t>
                  </w:r>
                </w:p>
              </w:tc>
              <w:tc>
                <w:tcPr>
                  <w:tcW w:w="1123" w:type="dxa"/>
                  <w:vMerge w:val="restart"/>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2.0</w:t>
                  </w:r>
                </w:p>
              </w:tc>
              <w:tc>
                <w:tcPr>
                  <w:tcW w:w="1932" w:type="dxa"/>
                  <w:tcBorders>
                    <w:tl2br w:val="nil"/>
                    <w:tr2bl w:val="nil"/>
                  </w:tcBorders>
                  <w:noWrap/>
                  <w:vAlign w:val="center"/>
                </w:tcPr>
                <w:p>
                  <w:pPr>
                    <w:widowControl/>
                    <w:spacing w:line="240" w:lineRule="auto"/>
                    <w:jc w:val="center"/>
                    <w:rPr>
                      <w:rFonts w:ascii="Times New Roman" w:hAnsi="Times New Roman" w:cs="Times New Roman"/>
                      <w:szCs w:val="21"/>
                    </w:rPr>
                  </w:pPr>
                  <w:r>
                    <w:rPr>
                      <w:rFonts w:ascii="Times New Roman" w:hAnsi="Times New Roman" w:cs="Times New Roman"/>
                      <w:color w:val="000000"/>
                      <w:kern w:val="0"/>
                      <w:szCs w:val="21"/>
                    </w:rPr>
                    <w:t>维修车间东南侧建设2座危废暂存间，交由有危废处理资质的单位处置</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1" w:type="dxa"/>
                  <w:vMerge w:val="continue"/>
                  <w:tcBorders>
                    <w:tl2br w:val="nil"/>
                    <w:tr2bl w:val="nil"/>
                  </w:tcBorders>
                  <w:noWrap/>
                  <w:vAlign w:val="center"/>
                </w:tcPr>
                <w:p>
                  <w:pPr>
                    <w:spacing w:line="240" w:lineRule="auto"/>
                    <w:jc w:val="center"/>
                    <w:rPr>
                      <w:rFonts w:ascii="Times New Roman" w:hAnsi="Times New Roman" w:cs="Times New Roman"/>
                      <w:szCs w:val="21"/>
                    </w:rPr>
                  </w:pP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废油漆桶</w:t>
                  </w:r>
                </w:p>
              </w:tc>
              <w:tc>
                <w:tcPr>
                  <w:tcW w:w="2513" w:type="dxa"/>
                  <w:tcBorders>
                    <w:tl2br w:val="nil"/>
                    <w:tr2bl w:val="nil"/>
                  </w:tcBorders>
                  <w:noWrap/>
                  <w:vAlign w:val="center"/>
                </w:tcPr>
                <w:p>
                  <w:pPr>
                    <w:widowControl/>
                    <w:spacing w:line="240" w:lineRule="auto"/>
                    <w:jc w:val="center"/>
                    <w:rPr>
                      <w:rFonts w:ascii="Times New Roman" w:hAnsi="Times New Roman" w:cs="Times New Roman"/>
                      <w:szCs w:val="21"/>
                    </w:rPr>
                  </w:pPr>
                  <w:r>
                    <w:rPr>
                      <w:rFonts w:ascii="Times New Roman" w:hAnsi="Times New Roman" w:cs="Times New Roman"/>
                      <w:color w:val="000000"/>
                      <w:kern w:val="0"/>
                      <w:szCs w:val="21"/>
                    </w:rPr>
                    <w:t>分类暂存后定期由供货厂家回收利用</w:t>
                  </w:r>
                </w:p>
              </w:tc>
              <w:tc>
                <w:tcPr>
                  <w:tcW w:w="1123" w:type="dxa"/>
                  <w:vMerge w:val="continue"/>
                  <w:tcBorders>
                    <w:tl2br w:val="nil"/>
                    <w:tr2bl w:val="nil"/>
                  </w:tcBorders>
                  <w:noWrap/>
                  <w:vAlign w:val="center"/>
                </w:tcPr>
                <w:p>
                  <w:pPr>
                    <w:spacing w:line="240" w:lineRule="auto"/>
                    <w:jc w:val="center"/>
                    <w:rPr>
                      <w:rFonts w:ascii="Times New Roman" w:hAnsi="Times New Roman" w:cs="Times New Roman"/>
                      <w:szCs w:val="21"/>
                    </w:rPr>
                  </w:pPr>
                </w:p>
              </w:tc>
              <w:tc>
                <w:tcPr>
                  <w:tcW w:w="1932" w:type="dxa"/>
                  <w:tcBorders>
                    <w:tl2br w:val="nil"/>
                    <w:tr2bl w:val="nil"/>
                  </w:tcBorders>
                  <w:noWrap/>
                  <w:vAlign w:val="center"/>
                </w:tcPr>
                <w:p>
                  <w:pPr>
                    <w:spacing w:line="240" w:lineRule="auto"/>
                    <w:jc w:val="center"/>
                    <w:rPr>
                      <w:rFonts w:ascii="Times New Roman" w:hAnsi="Times New Roman" w:cs="Times New Roman"/>
                      <w:szCs w:val="21"/>
                    </w:rPr>
                  </w:pPr>
                  <w:r>
                    <w:rPr>
                      <w:rFonts w:hint="eastAsia" w:ascii="Times New Roman" w:hAnsi="Times New Roman" w:cs="Times New Roman"/>
                      <w:color w:val="000000"/>
                      <w:kern w:val="0"/>
                      <w:szCs w:val="21"/>
                    </w:rPr>
                    <w:t>暂存于危废间，</w:t>
                  </w:r>
                  <w:r>
                    <w:rPr>
                      <w:rFonts w:ascii="Times New Roman" w:hAnsi="Times New Roman" w:cs="Times New Roman"/>
                      <w:color w:val="000000"/>
                      <w:kern w:val="0"/>
                      <w:szCs w:val="21"/>
                    </w:rPr>
                    <w:t>交由有危废处理资质的单位处置</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1"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噪声</w:t>
                  </w:r>
                </w:p>
              </w:tc>
              <w:tc>
                <w:tcPr>
                  <w:tcW w:w="1056"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设备噪声</w:t>
                  </w:r>
                </w:p>
              </w:tc>
              <w:tc>
                <w:tcPr>
                  <w:tcW w:w="2513" w:type="dxa"/>
                  <w:tcBorders>
                    <w:tl2br w:val="nil"/>
                    <w:tr2bl w:val="nil"/>
                  </w:tcBorders>
                  <w:noWrap/>
                  <w:vAlign w:val="center"/>
                </w:tcPr>
                <w:p>
                  <w:pPr>
                    <w:widowControl/>
                    <w:spacing w:line="240" w:lineRule="auto"/>
                    <w:jc w:val="center"/>
                    <w:rPr>
                      <w:rFonts w:ascii="Times New Roman" w:hAnsi="Times New Roman" w:cs="Times New Roman"/>
                      <w:szCs w:val="21"/>
                    </w:rPr>
                  </w:pPr>
                  <w:r>
                    <w:rPr>
                      <w:rFonts w:ascii="Times New Roman" w:hAnsi="Times New Roman" w:cs="Times New Roman"/>
                      <w:color w:val="000000"/>
                      <w:kern w:val="0"/>
                      <w:szCs w:val="21"/>
                    </w:rPr>
                    <w:t>设置减振机座，车间安装隔声门窗</w:t>
                  </w:r>
                </w:p>
              </w:tc>
              <w:tc>
                <w:tcPr>
                  <w:tcW w:w="112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5</w:t>
                  </w:r>
                </w:p>
              </w:tc>
              <w:tc>
                <w:tcPr>
                  <w:tcW w:w="1932"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color w:val="000000"/>
                      <w:kern w:val="0"/>
                      <w:szCs w:val="21"/>
                    </w:rPr>
                    <w:t>基础减震，低噪声设备，设备检修</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260" w:type="dxa"/>
                  <w:gridSpan w:val="3"/>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合计</w:t>
                  </w:r>
                </w:p>
              </w:tc>
              <w:tc>
                <w:tcPr>
                  <w:tcW w:w="1123"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50</w:t>
                  </w:r>
                </w:p>
              </w:tc>
              <w:tc>
                <w:tcPr>
                  <w:tcW w:w="1932" w:type="dxa"/>
                  <w:tcBorders>
                    <w:tl2br w:val="nil"/>
                    <w:tr2bl w:val="nil"/>
                  </w:tcBorders>
                  <w:noWrap/>
                  <w:vAlign w:val="center"/>
                </w:tcPr>
                <w:p>
                  <w:pPr>
                    <w:spacing w:line="240" w:lineRule="auto"/>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合计</w:t>
                  </w:r>
                </w:p>
              </w:tc>
              <w:tc>
                <w:tcPr>
                  <w:tcW w:w="1207" w:type="dxa"/>
                  <w:tcBorders>
                    <w:tl2br w:val="nil"/>
                    <w:tr2bl w:val="nil"/>
                  </w:tcBorders>
                  <w:noWrap/>
                  <w:vAlign w:val="center"/>
                </w:tcPr>
                <w:p>
                  <w:pPr>
                    <w:spacing w:line="240" w:lineRule="auto"/>
                    <w:jc w:val="center"/>
                    <w:rPr>
                      <w:rFonts w:ascii="Times New Roman" w:hAnsi="Times New Roman" w:cs="Times New Roman"/>
                      <w:szCs w:val="21"/>
                    </w:rPr>
                  </w:pPr>
                  <w:r>
                    <w:rPr>
                      <w:rFonts w:ascii="Times New Roman" w:hAnsi="Times New Roman" w:cs="Times New Roman"/>
                      <w:szCs w:val="21"/>
                    </w:rPr>
                    <w:t>32</w:t>
                  </w:r>
                </w:p>
              </w:tc>
            </w:tr>
          </w:tbl>
          <w:p>
            <w:pPr>
              <w:pStyle w:val="4"/>
              <w:spacing w:line="360" w:lineRule="auto"/>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4.5、水源及水平衡</w:t>
            </w:r>
            <w:bookmarkEnd w:id="5"/>
          </w:p>
          <w:p>
            <w:pPr>
              <w:pStyle w:val="2"/>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项目用水主要为员工生活用水、洗车用水、车间清洗废水、绿化用水，</w:t>
            </w:r>
            <w:r>
              <w:rPr>
                <w:rFonts w:ascii="Times New Roman" w:hAnsi="Times New Roman" w:cs="Times New Roman"/>
              </w:rPr>
              <w:t>根据企业提供的相关资料，企业年生产300天，每天生产8小时</w:t>
            </w:r>
            <w:r>
              <w:rPr>
                <w:rFonts w:hint="default" w:ascii="Times New Roman" w:hAnsi="Times New Roman" w:cs="Times New Roman"/>
              </w:rPr>
              <w:t>，企业每年用水量约为840m</w:t>
            </w:r>
            <w:r>
              <w:rPr>
                <w:rFonts w:hint="default" w:ascii="Times New Roman" w:hAnsi="Times New Roman" w:cs="Times New Roman"/>
                <w:vertAlign w:val="superscript"/>
              </w:rPr>
              <w:t>3</w:t>
            </w:r>
            <w:r>
              <w:rPr>
                <w:rFonts w:hint="default" w:ascii="Times New Roman" w:hAnsi="Times New Roman" w:cs="Times New Roman"/>
              </w:rPr>
              <w:t>/d。</w:t>
            </w:r>
            <w:r>
              <w:rPr>
                <w:rFonts w:ascii="Times New Roman" w:hAnsi="Times New Roman" w:cs="Times New Roman"/>
              </w:rPr>
              <w:t>企业用水情况详见附件《关于咸宁黄浦丰田汽车销售服务有限公司用水情况的说明》。</w:t>
            </w:r>
          </w:p>
          <w:p>
            <w:pPr>
              <w:pStyle w:val="2"/>
              <w:spacing w:line="360" w:lineRule="auto"/>
              <w:ind w:firstLine="480" w:firstLineChars="200"/>
              <w:jc w:val="both"/>
              <w:rPr>
                <w:rFonts w:hint="default" w:ascii="Times New Roman" w:hAnsi="Times New Roman" w:cs="Times New Roman"/>
                <w:color w:val="FF0000"/>
              </w:rPr>
            </w:pPr>
            <w:r>
              <w:rPr>
                <w:rFonts w:hint="default" w:ascii="Times New Roman" w:hAnsi="Times New Roman" w:cs="Times New Roman"/>
              </w:rPr>
              <w:t>员工生活用水：</w:t>
            </w:r>
            <w:r>
              <w:rPr>
                <w:rFonts w:hint="default" w:ascii="Times New Roman" w:hAnsi="Times New Roman" w:cs="Times New Roman"/>
                <w:color w:val="000000" w:themeColor="text1"/>
              </w:rPr>
              <w:t>建设项目共有职工人数约30人，企业不提供住宿，根据统计，企业年生产300天，职工生活用水量约为360m</w:t>
            </w:r>
            <w:r>
              <w:rPr>
                <w:rFonts w:hint="default" w:ascii="Times New Roman" w:hAnsi="Times New Roman" w:cs="Times New Roman"/>
                <w:color w:val="000000" w:themeColor="text1"/>
                <w:vertAlign w:val="superscript"/>
              </w:rPr>
              <w:t>3</w:t>
            </w:r>
            <w:r>
              <w:rPr>
                <w:rFonts w:hint="default" w:ascii="Times New Roman" w:hAnsi="Times New Roman" w:cs="Times New Roman"/>
                <w:color w:val="000000" w:themeColor="text1"/>
              </w:rPr>
              <w:t>/a，排水量约为252m</w:t>
            </w:r>
            <w:r>
              <w:rPr>
                <w:rFonts w:hint="default" w:ascii="Times New Roman" w:hAnsi="Times New Roman" w:cs="Times New Roman"/>
                <w:color w:val="000000" w:themeColor="text1"/>
                <w:vertAlign w:val="superscript"/>
              </w:rPr>
              <w:t>3</w:t>
            </w:r>
            <w:r>
              <w:rPr>
                <w:rFonts w:hint="default" w:ascii="Times New Roman" w:hAnsi="Times New Roman" w:cs="Times New Roman"/>
                <w:color w:val="000000" w:themeColor="text1"/>
              </w:rPr>
              <w:t>/a。</w:t>
            </w:r>
          </w:p>
          <w:p>
            <w:pPr>
              <w:pStyle w:val="2"/>
              <w:spacing w:line="360" w:lineRule="auto"/>
              <w:ind w:firstLine="480" w:firstLineChars="200"/>
              <w:jc w:val="both"/>
              <w:rPr>
                <w:rFonts w:hint="default" w:ascii="Times New Roman" w:hAnsi="Times New Roman" w:cs="Times New Roman"/>
              </w:rPr>
            </w:pPr>
            <w:bookmarkStart w:id="6" w:name="OLE_LINK1"/>
            <w:r>
              <w:rPr>
                <w:rFonts w:hint="default" w:ascii="Times New Roman" w:hAnsi="Times New Roman" w:cs="Times New Roman"/>
              </w:rPr>
              <w:t>洗车用水：项目洗车用水包括洗车区用水和维修车辆区清洗用水。洗车区清洗车辆为轿车，洗车数量为2000辆</w:t>
            </w:r>
            <w:bookmarkEnd w:id="6"/>
            <w:r>
              <w:rPr>
                <w:rFonts w:hint="default" w:ascii="Times New Roman" w:hAnsi="Times New Roman" w:cs="Times New Roman"/>
              </w:rPr>
              <w:t>。据企业统计，洗车年用水量为</w:t>
            </w:r>
            <w:r>
              <w:rPr>
                <w:rFonts w:ascii="Times New Roman" w:hAnsi="Times New Roman" w:cs="Times New Roman"/>
              </w:rPr>
              <w:t>2</w:t>
            </w:r>
            <w:r>
              <w:rPr>
                <w:rFonts w:hint="default" w:ascii="Times New Roman" w:hAnsi="Times New Roman" w:cs="Times New Roman"/>
              </w:rPr>
              <w:t>00m</w:t>
            </w:r>
            <w:r>
              <w:rPr>
                <w:rFonts w:hint="default" w:ascii="Times New Roman" w:hAnsi="Times New Roman" w:cs="Times New Roman"/>
                <w:vertAlign w:val="superscript"/>
              </w:rPr>
              <w:t>3</w:t>
            </w:r>
            <w:r>
              <w:rPr>
                <w:rFonts w:hint="default" w:ascii="Times New Roman" w:hAnsi="Times New Roman" w:cs="Times New Roman"/>
              </w:rPr>
              <w:t>/a，废水排放量为</w:t>
            </w:r>
            <w:r>
              <w:rPr>
                <w:rFonts w:ascii="Times New Roman" w:hAnsi="Times New Roman" w:cs="Times New Roman"/>
              </w:rPr>
              <w:t>150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w:t>
            </w:r>
          </w:p>
          <w:p>
            <w:pPr>
              <w:pStyle w:val="2"/>
              <w:spacing w:line="360" w:lineRule="auto"/>
              <w:ind w:firstLine="480" w:firstLineChars="200"/>
              <w:jc w:val="both"/>
              <w:rPr>
                <w:rFonts w:hint="default" w:ascii="Times New Roman" w:hAnsi="Times New Roman" w:cs="Times New Roman"/>
                <w:color w:val="000000" w:themeColor="text1"/>
              </w:rPr>
            </w:pPr>
            <w:r>
              <w:rPr>
                <w:rFonts w:hint="default" w:ascii="Times New Roman" w:hAnsi="Times New Roman" w:cs="Times New Roman"/>
              </w:rPr>
              <w:t>车间清洁废水：车间采用拖把拖地的形式清洗，清洗拖把废水用桶运至洗车房经三级沉淀池处理，据企业统计，清洁车间年用水量约为66m</w:t>
            </w:r>
            <w:r>
              <w:rPr>
                <w:rFonts w:hint="default" w:ascii="Times New Roman" w:hAnsi="Times New Roman" w:cs="Times New Roman"/>
                <w:vertAlign w:val="superscript"/>
              </w:rPr>
              <w:t>3</w:t>
            </w:r>
            <w:r>
              <w:rPr>
                <w:rFonts w:hint="default" w:ascii="Times New Roman" w:hAnsi="Times New Roman" w:cs="Times New Roman"/>
              </w:rPr>
              <w:t>/a，排水量为46.2</w:t>
            </w:r>
            <w:r>
              <w:rPr>
                <w:rFonts w:hint="default" w:ascii="Times New Roman" w:hAnsi="Times New Roman" w:cs="Times New Roman"/>
                <w:color w:val="000000" w:themeColor="text1"/>
              </w:rPr>
              <w:t>m</w:t>
            </w:r>
            <w:r>
              <w:rPr>
                <w:rFonts w:hint="default" w:ascii="Times New Roman" w:hAnsi="Times New Roman" w:cs="Times New Roman"/>
                <w:color w:val="000000" w:themeColor="text1"/>
                <w:vertAlign w:val="superscript"/>
              </w:rPr>
              <w:t>3</w:t>
            </w:r>
            <w:r>
              <w:rPr>
                <w:rFonts w:hint="default" w:ascii="Times New Roman" w:hAnsi="Times New Roman" w:cs="Times New Roman"/>
                <w:color w:val="000000" w:themeColor="text1"/>
              </w:rPr>
              <w:t>/a。</w:t>
            </w:r>
          </w:p>
          <w:p>
            <w:pPr>
              <w:pStyle w:val="2"/>
              <w:spacing w:line="360" w:lineRule="auto"/>
              <w:jc w:val="both"/>
              <w:rPr>
                <w:rFonts w:hint="default" w:ascii="Times New Roman" w:hAnsi="Times New Roman" w:cs="Times New Roman"/>
                <w:color w:val="000000" w:themeColor="text1"/>
              </w:rPr>
            </w:pPr>
            <w:r>
              <w:rPr>
                <w:rFonts w:hint="default" w:ascii="Times New Roman" w:hAnsi="Times New Roman" w:cs="Times New Roman"/>
                <w:color w:val="000000" w:themeColor="text1"/>
              </w:rPr>
              <w:t xml:space="preserve">    绿化用水：企业绿化用水量约为</w:t>
            </w:r>
            <w:r>
              <w:rPr>
                <w:rFonts w:ascii="Times New Roman" w:hAnsi="Times New Roman" w:cs="Times New Roman"/>
                <w:color w:val="000000" w:themeColor="text1"/>
              </w:rPr>
              <w:t>2</w:t>
            </w:r>
            <w:r>
              <w:rPr>
                <w:rFonts w:hint="default" w:ascii="Times New Roman" w:hAnsi="Times New Roman" w:cs="Times New Roman"/>
                <w:color w:val="000000" w:themeColor="text1"/>
              </w:rPr>
              <w:t>14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/a，水量全部蒸发。本项目水平衡情况见下表4-5。</w:t>
            </w:r>
          </w:p>
          <w:p>
            <w:pPr>
              <w:jc w:val="center"/>
              <w:rPr>
                <w:rFonts w:ascii="Times New Roman" w:hAnsi="Times New Roman" w:cs="Times New Roman"/>
                <w:b/>
                <w:bCs/>
              </w:rPr>
            </w:pPr>
            <w:r>
              <w:rPr>
                <w:rFonts w:ascii="Times New Roman" w:hAnsi="Times New Roman" w:cs="Times New Roman"/>
                <w:b/>
                <w:bCs/>
              </w:rPr>
              <w:t>表4.5-1 本项目水平衡表  （单位：m</w:t>
            </w:r>
            <w:r>
              <w:rPr>
                <w:rFonts w:ascii="Times New Roman" w:hAnsi="Times New Roman" w:cs="Times New Roman"/>
                <w:b/>
                <w:bCs/>
                <w:vertAlign w:val="superscript"/>
              </w:rPr>
              <w:t>3</w:t>
            </w:r>
            <w:r>
              <w:rPr>
                <w:rFonts w:ascii="Times New Roman" w:hAnsi="Times New Roman" w:cs="Times New Roman"/>
                <w:b/>
                <w:bCs/>
              </w:rPr>
              <w:t>/a）</w:t>
            </w:r>
          </w:p>
          <w:tbl>
            <w:tblPr>
              <w:tblStyle w:val="17"/>
              <w:tblW w:w="8048"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2012"/>
              <w:gridCol w:w="2012"/>
              <w:gridCol w:w="2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012" w:type="dxa"/>
                  <w:tcBorders>
                    <w:tl2br w:val="nil"/>
                    <w:tr2bl w:val="nil"/>
                  </w:tcBorders>
                </w:tcPr>
                <w:p>
                  <w:pPr>
                    <w:spacing w:line="240" w:lineRule="auto"/>
                    <w:jc w:val="center"/>
                    <w:rPr>
                      <w:rFonts w:ascii="Times New Roman" w:hAnsi="Times New Roman" w:cs="Times New Roman"/>
                      <w:b/>
                      <w:bCs/>
                    </w:rPr>
                  </w:pPr>
                  <w:r>
                    <w:rPr>
                      <w:rFonts w:ascii="Times New Roman" w:hAnsi="Times New Roman" w:cs="Times New Roman"/>
                      <w:b/>
                      <w:bCs/>
                    </w:rPr>
                    <w:t>项目</w:t>
                  </w:r>
                </w:p>
              </w:tc>
              <w:tc>
                <w:tcPr>
                  <w:tcW w:w="2012" w:type="dxa"/>
                  <w:tcBorders>
                    <w:tl2br w:val="nil"/>
                    <w:tr2bl w:val="nil"/>
                  </w:tcBorders>
                </w:tcPr>
                <w:p>
                  <w:pPr>
                    <w:spacing w:line="240" w:lineRule="auto"/>
                    <w:jc w:val="center"/>
                    <w:rPr>
                      <w:rFonts w:ascii="Times New Roman" w:hAnsi="Times New Roman" w:cs="Times New Roman"/>
                      <w:b/>
                      <w:bCs/>
                    </w:rPr>
                  </w:pPr>
                  <w:r>
                    <w:rPr>
                      <w:rFonts w:ascii="Times New Roman" w:hAnsi="Times New Roman" w:cs="Times New Roman"/>
                      <w:b/>
                      <w:bCs/>
                    </w:rPr>
                    <w:t>新鲜水</w:t>
                  </w:r>
                </w:p>
              </w:tc>
              <w:tc>
                <w:tcPr>
                  <w:tcW w:w="2012" w:type="dxa"/>
                  <w:tcBorders>
                    <w:tl2br w:val="nil"/>
                    <w:tr2bl w:val="nil"/>
                  </w:tcBorders>
                </w:tcPr>
                <w:p>
                  <w:pPr>
                    <w:spacing w:line="240" w:lineRule="auto"/>
                    <w:jc w:val="center"/>
                    <w:rPr>
                      <w:rFonts w:ascii="Times New Roman" w:hAnsi="Times New Roman" w:cs="Times New Roman"/>
                      <w:b/>
                      <w:bCs/>
                    </w:rPr>
                  </w:pPr>
                  <w:r>
                    <w:rPr>
                      <w:rFonts w:ascii="Times New Roman" w:hAnsi="Times New Roman" w:cs="Times New Roman"/>
                      <w:b/>
                      <w:bCs/>
                    </w:rPr>
                    <w:t>损耗</w:t>
                  </w:r>
                </w:p>
              </w:tc>
              <w:tc>
                <w:tcPr>
                  <w:tcW w:w="2012" w:type="dxa"/>
                  <w:tcBorders>
                    <w:tl2br w:val="nil"/>
                    <w:tr2bl w:val="nil"/>
                  </w:tcBorders>
                </w:tcPr>
                <w:p>
                  <w:pPr>
                    <w:spacing w:line="240" w:lineRule="auto"/>
                    <w:jc w:val="center"/>
                    <w:rPr>
                      <w:rFonts w:ascii="Times New Roman" w:hAnsi="Times New Roman" w:cs="Times New Roman"/>
                      <w:b/>
                      <w:bCs/>
                    </w:rPr>
                  </w:pPr>
                  <w:r>
                    <w:rPr>
                      <w:rFonts w:ascii="Times New Roman" w:hAnsi="Times New Roman" w:cs="Times New Roman"/>
                      <w:b/>
                      <w:bCs/>
                    </w:rPr>
                    <w:t>污水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生活用水</w:t>
                  </w:r>
                </w:p>
              </w:tc>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360</w:t>
                  </w:r>
                </w:p>
              </w:tc>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108</w:t>
                  </w:r>
                </w:p>
              </w:tc>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洗车用水</w:t>
                  </w:r>
                </w:p>
              </w:tc>
              <w:tc>
                <w:tcPr>
                  <w:tcW w:w="2012" w:type="dxa"/>
                  <w:tcBorders>
                    <w:tl2br w:val="nil"/>
                    <w:tr2bl w:val="nil"/>
                  </w:tcBorders>
                </w:tcPr>
                <w:p>
                  <w:pPr>
                    <w:spacing w:line="240" w:lineRule="auto"/>
                    <w:jc w:val="center"/>
                    <w:rPr>
                      <w:rFonts w:ascii="Times New Roman" w:hAnsi="Times New Roman" w:cs="Times New Roman"/>
                    </w:rPr>
                  </w:pPr>
                  <w:r>
                    <w:rPr>
                      <w:rFonts w:hint="eastAsia" w:ascii="Times New Roman" w:hAnsi="Times New Roman" w:cs="Times New Roman"/>
                    </w:rPr>
                    <w:t>200</w:t>
                  </w:r>
                </w:p>
              </w:tc>
              <w:tc>
                <w:tcPr>
                  <w:tcW w:w="2012" w:type="dxa"/>
                  <w:tcBorders>
                    <w:tl2br w:val="nil"/>
                    <w:tr2bl w:val="nil"/>
                  </w:tcBorders>
                </w:tcPr>
                <w:p>
                  <w:pPr>
                    <w:spacing w:line="240" w:lineRule="auto"/>
                    <w:jc w:val="center"/>
                    <w:rPr>
                      <w:rFonts w:ascii="Times New Roman" w:hAnsi="Times New Roman" w:cs="Times New Roman"/>
                    </w:rPr>
                  </w:pPr>
                  <w:r>
                    <w:rPr>
                      <w:rFonts w:hint="eastAsia" w:ascii="Times New Roman" w:hAnsi="Times New Roman" w:cs="Times New Roman"/>
                    </w:rPr>
                    <w:t>50</w:t>
                  </w:r>
                </w:p>
              </w:tc>
              <w:tc>
                <w:tcPr>
                  <w:tcW w:w="2012" w:type="dxa"/>
                  <w:tcBorders>
                    <w:tl2br w:val="nil"/>
                    <w:tr2bl w:val="nil"/>
                  </w:tcBorders>
                </w:tcPr>
                <w:p>
                  <w:pPr>
                    <w:spacing w:line="240" w:lineRule="auto"/>
                    <w:jc w:val="center"/>
                    <w:rPr>
                      <w:rFonts w:ascii="Times New Roman" w:hAnsi="Times New Roman" w:cs="Times New Roman"/>
                    </w:rPr>
                  </w:pPr>
                  <w:r>
                    <w:rPr>
                      <w:rFonts w:hint="eastAsia" w:ascii="Times New Roman" w:hAnsi="Times New Roman" w:cs="Times New Roma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车间清洁废水</w:t>
                  </w:r>
                </w:p>
              </w:tc>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66</w:t>
                  </w:r>
                </w:p>
              </w:tc>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19.8</w:t>
                  </w:r>
                </w:p>
              </w:tc>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46.2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绿化用水</w:t>
                  </w:r>
                </w:p>
              </w:tc>
              <w:tc>
                <w:tcPr>
                  <w:tcW w:w="2012" w:type="dxa"/>
                  <w:tcBorders>
                    <w:tl2br w:val="nil"/>
                    <w:tr2bl w:val="nil"/>
                  </w:tcBorders>
                </w:tcPr>
                <w:p>
                  <w:pPr>
                    <w:spacing w:line="240" w:lineRule="auto"/>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14</w:t>
                  </w:r>
                </w:p>
              </w:tc>
              <w:tc>
                <w:tcPr>
                  <w:tcW w:w="2012" w:type="dxa"/>
                  <w:tcBorders>
                    <w:tl2br w:val="nil"/>
                    <w:tr2bl w:val="nil"/>
                  </w:tcBorders>
                </w:tcPr>
                <w:p>
                  <w:pPr>
                    <w:spacing w:line="240" w:lineRule="auto"/>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14</w:t>
                  </w:r>
                </w:p>
              </w:tc>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合计</w:t>
                  </w:r>
                </w:p>
              </w:tc>
              <w:tc>
                <w:tcPr>
                  <w:tcW w:w="2012" w:type="dxa"/>
                  <w:tcBorders>
                    <w:tl2br w:val="nil"/>
                    <w:tr2bl w:val="nil"/>
                  </w:tcBorders>
                </w:tcPr>
                <w:p>
                  <w:pPr>
                    <w:spacing w:line="240" w:lineRule="auto"/>
                    <w:jc w:val="center"/>
                    <w:rPr>
                      <w:rFonts w:ascii="Times New Roman" w:hAnsi="Times New Roman" w:cs="Times New Roman"/>
                    </w:rPr>
                  </w:pPr>
                  <w:r>
                    <w:rPr>
                      <w:rFonts w:ascii="Times New Roman" w:hAnsi="Times New Roman" w:cs="Times New Roman"/>
                    </w:rPr>
                    <w:t>840</w:t>
                  </w:r>
                </w:p>
              </w:tc>
              <w:tc>
                <w:tcPr>
                  <w:tcW w:w="2012" w:type="dxa"/>
                  <w:tcBorders>
                    <w:tl2br w:val="nil"/>
                    <w:tr2bl w:val="nil"/>
                  </w:tcBorders>
                </w:tcPr>
                <w:p>
                  <w:pPr>
                    <w:spacing w:line="240" w:lineRule="auto"/>
                    <w:jc w:val="center"/>
                    <w:rPr>
                      <w:rFonts w:ascii="Times New Roman" w:hAnsi="Times New Roman" w:cs="Times New Roman"/>
                    </w:rPr>
                  </w:pPr>
                  <w:r>
                    <w:rPr>
                      <w:rFonts w:hint="eastAsia" w:ascii="Times New Roman" w:hAnsi="Times New Roman" w:cs="Times New Roman"/>
                    </w:rPr>
                    <w:t>391.8</w:t>
                  </w:r>
                </w:p>
              </w:tc>
              <w:tc>
                <w:tcPr>
                  <w:tcW w:w="2012" w:type="dxa"/>
                  <w:tcBorders>
                    <w:tl2br w:val="nil"/>
                    <w:tr2bl w:val="nil"/>
                  </w:tcBorders>
                </w:tcPr>
                <w:p>
                  <w:pPr>
                    <w:spacing w:line="240" w:lineRule="auto"/>
                    <w:jc w:val="center"/>
                    <w:rPr>
                      <w:rFonts w:ascii="Times New Roman" w:hAnsi="Times New Roman" w:cs="Times New Roman"/>
                    </w:rPr>
                  </w:pPr>
                  <w:r>
                    <w:rPr>
                      <w:rFonts w:hint="eastAsia" w:ascii="Times New Roman" w:hAnsi="Times New Roman" w:cs="Times New Roman"/>
                    </w:rPr>
                    <w:t>448.2</w:t>
                  </w:r>
                </w:p>
              </w:tc>
            </w:tr>
          </w:tbl>
          <w:p>
            <w:pPr>
              <w:pStyle w:val="4"/>
              <w:spacing w:line="360" w:lineRule="auto"/>
              <w:rPr>
                <w:rFonts w:ascii="Times New Roman" w:hAnsi="Times New Roman" w:eastAsia="宋体" w:cs="Times New Roman"/>
                <w:sz w:val="24"/>
              </w:rPr>
            </w:pPr>
            <w:r>
              <w:rPr>
                <w:rFonts w:ascii="Times New Roman" w:hAnsi="Times New Roman" w:eastAsia="宋体" w:cs="Times New Roman"/>
                <w:sz w:val="24"/>
              </w:rPr>
              <w:object>
                <v:shape id="_x0000_i1027" o:spt="75" alt="" type="#_x0000_t75" style="height:195.75pt;width:400.2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5" r:id="rId21">
                  <o:LockedField>false</o:LockedField>
                </o:OLEObject>
              </w:object>
            </w:r>
          </w:p>
          <w:p>
            <w:pPr>
              <w:pStyle w:val="4"/>
              <w:spacing w:line="360" w:lineRule="auto"/>
              <w:rPr>
                <w:rFonts w:ascii="Times New Roman" w:hAnsi="Times New Roman" w:eastAsia="宋体" w:cs="Times New Roman"/>
                <w:sz w:val="24"/>
              </w:rPr>
            </w:pPr>
            <w:r>
              <w:rPr>
                <w:rFonts w:ascii="Times New Roman" w:hAnsi="Times New Roman" w:eastAsia="宋体" w:cs="Times New Roman"/>
                <w:sz w:val="24"/>
              </w:rPr>
              <w:t>4.6、主要设备一览表</w:t>
            </w:r>
          </w:p>
          <w:p>
            <w:pPr>
              <w:pStyle w:val="7"/>
              <w:ind w:firstLine="480" w:firstLineChars="200"/>
              <w:rPr>
                <w:rFonts w:ascii="Times New Roman" w:hAnsi="Times New Roman" w:cs="Times New Roman"/>
              </w:rPr>
            </w:pPr>
            <w:r>
              <w:rPr>
                <w:rFonts w:ascii="Times New Roman" w:hAnsi="Times New Roman" w:cs="Times New Roman"/>
                <w:color w:val="000000"/>
                <w:sz w:val="24"/>
                <w:szCs w:val="22"/>
              </w:rPr>
              <w:t>根据建设单位提供资料，项目主要生产设备与环评中生产设备对比一览表见表4.6-1。</w:t>
            </w:r>
          </w:p>
          <w:p>
            <w:pPr>
              <w:jc w:val="center"/>
              <w:rPr>
                <w:rFonts w:ascii="Times New Roman" w:hAnsi="Times New Roman" w:cs="Times New Roman"/>
                <w:b/>
                <w:bCs/>
              </w:rPr>
            </w:pPr>
            <w:r>
              <w:rPr>
                <w:rFonts w:ascii="Times New Roman" w:hAnsi="Times New Roman" w:cs="Times New Roman"/>
                <w:b/>
                <w:bCs/>
              </w:rPr>
              <w:t>表4.6-1 项目主要生产设备与环评中生产设备对比一览表</w:t>
            </w:r>
          </w:p>
          <w:tbl>
            <w:tblPr>
              <w:tblStyle w:val="16"/>
              <w:tblW w:w="7912" w:type="dxa"/>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720"/>
              <w:gridCol w:w="1173"/>
              <w:gridCol w:w="1731"/>
              <w:gridCol w:w="1214"/>
              <w:gridCol w:w="1399"/>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675" w:type="dxa"/>
                  <w:tcBorders>
                    <w:bottom w:val="single" w:color="000000" w:themeColor="text1" w:sz="12" w:space="0"/>
                  </w:tcBorders>
                  <w:vAlign w:val="center"/>
                </w:tcPr>
                <w:p>
                  <w:pPr>
                    <w:tabs>
                      <w:tab w:val="left" w:pos="180"/>
                    </w:tabs>
                    <w:jc w:val="center"/>
                    <w:rPr>
                      <w:rFonts w:ascii="Times New Roman" w:hAnsi="Times New Roman" w:cs="Times New Roman"/>
                      <w:b/>
                      <w:bCs/>
                    </w:rPr>
                  </w:pPr>
                  <w:r>
                    <w:rPr>
                      <w:rFonts w:ascii="Times New Roman" w:hAnsi="Times New Roman" w:cs="Times New Roman"/>
                      <w:b/>
                      <w:bCs/>
                    </w:rPr>
                    <w:t>序号</w:t>
                  </w:r>
                </w:p>
              </w:tc>
              <w:tc>
                <w:tcPr>
                  <w:tcW w:w="1720" w:type="dxa"/>
                  <w:tcBorders>
                    <w:bottom w:val="single" w:color="000000" w:themeColor="text1" w:sz="12" w:space="0"/>
                  </w:tcBorders>
                  <w:vAlign w:val="center"/>
                </w:tcPr>
                <w:p>
                  <w:pPr>
                    <w:tabs>
                      <w:tab w:val="left" w:pos="180"/>
                    </w:tabs>
                    <w:jc w:val="center"/>
                    <w:rPr>
                      <w:rFonts w:ascii="Times New Roman" w:hAnsi="Times New Roman" w:cs="Times New Roman"/>
                      <w:b/>
                      <w:bCs/>
                    </w:rPr>
                  </w:pPr>
                  <w:r>
                    <w:rPr>
                      <w:rFonts w:ascii="Times New Roman" w:hAnsi="Times New Roman" w:cs="Times New Roman"/>
                      <w:b/>
                      <w:bCs/>
                    </w:rPr>
                    <w:t>环评设备名称</w:t>
                  </w:r>
                </w:p>
              </w:tc>
              <w:tc>
                <w:tcPr>
                  <w:tcW w:w="1173" w:type="dxa"/>
                  <w:tcBorders>
                    <w:bottom w:val="single" w:color="000000" w:themeColor="text1" w:sz="12" w:space="0"/>
                  </w:tcBorders>
                  <w:vAlign w:val="center"/>
                </w:tcPr>
                <w:p>
                  <w:pPr>
                    <w:tabs>
                      <w:tab w:val="left" w:pos="180"/>
                    </w:tabs>
                    <w:jc w:val="center"/>
                    <w:rPr>
                      <w:rFonts w:ascii="Times New Roman" w:hAnsi="Times New Roman" w:cs="Times New Roman"/>
                      <w:b/>
                      <w:bCs/>
                    </w:rPr>
                  </w:pPr>
                  <w:r>
                    <w:rPr>
                      <w:rFonts w:ascii="Times New Roman" w:hAnsi="Times New Roman" w:cs="Times New Roman"/>
                      <w:b/>
                      <w:bCs/>
                    </w:rPr>
                    <w:t>数量（台）</w:t>
                  </w:r>
                </w:p>
              </w:tc>
              <w:tc>
                <w:tcPr>
                  <w:tcW w:w="1731" w:type="dxa"/>
                  <w:tcBorders>
                    <w:bottom w:val="single" w:color="000000" w:themeColor="text1" w:sz="12" w:space="0"/>
                  </w:tcBorders>
                  <w:vAlign w:val="center"/>
                </w:tcPr>
                <w:p>
                  <w:pPr>
                    <w:tabs>
                      <w:tab w:val="left" w:pos="180"/>
                      <w:tab w:val="left" w:pos="3327"/>
                    </w:tabs>
                    <w:ind w:right="-6"/>
                    <w:jc w:val="center"/>
                    <w:rPr>
                      <w:rFonts w:ascii="Times New Roman" w:hAnsi="Times New Roman" w:cs="Times New Roman"/>
                      <w:b/>
                      <w:bCs/>
                    </w:rPr>
                  </w:pPr>
                  <w:r>
                    <w:rPr>
                      <w:rFonts w:ascii="Times New Roman" w:hAnsi="Times New Roman" w:cs="Times New Roman"/>
                      <w:b/>
                      <w:bCs/>
                    </w:rPr>
                    <w:t>实际设备名称</w:t>
                  </w:r>
                </w:p>
              </w:tc>
              <w:tc>
                <w:tcPr>
                  <w:tcW w:w="1214" w:type="dxa"/>
                  <w:tcBorders>
                    <w:bottom w:val="single" w:color="000000" w:themeColor="text1" w:sz="12" w:space="0"/>
                  </w:tcBorders>
                  <w:vAlign w:val="center"/>
                </w:tcPr>
                <w:p>
                  <w:pPr>
                    <w:tabs>
                      <w:tab w:val="left" w:pos="180"/>
                    </w:tabs>
                    <w:jc w:val="center"/>
                    <w:rPr>
                      <w:rFonts w:ascii="Times New Roman" w:hAnsi="Times New Roman" w:cs="Times New Roman"/>
                      <w:b/>
                      <w:bCs/>
                    </w:rPr>
                  </w:pPr>
                  <w:r>
                    <w:rPr>
                      <w:rFonts w:ascii="Times New Roman" w:hAnsi="Times New Roman" w:cs="Times New Roman"/>
                      <w:b/>
                      <w:bCs/>
                    </w:rPr>
                    <w:t>数量（台）</w:t>
                  </w:r>
                </w:p>
              </w:tc>
              <w:tc>
                <w:tcPr>
                  <w:tcW w:w="1399" w:type="dxa"/>
                  <w:tcBorders>
                    <w:bottom w:val="single" w:color="000000" w:themeColor="text1" w:sz="12" w:space="0"/>
                  </w:tcBorders>
                  <w:vAlign w:val="center"/>
                </w:tcPr>
                <w:p>
                  <w:pPr>
                    <w:tabs>
                      <w:tab w:val="left" w:pos="180"/>
                    </w:tabs>
                    <w:ind w:right="-10" w:rightChars="-5"/>
                    <w:jc w:val="center"/>
                    <w:rPr>
                      <w:rFonts w:ascii="Times New Roman" w:hAnsi="Times New Roman" w:cs="Times New Roman"/>
                      <w:b/>
                      <w:bCs/>
                    </w:rPr>
                  </w:pPr>
                  <w:r>
                    <w:rPr>
                      <w:rFonts w:ascii="Times New Roman" w:hAnsi="Times New Roman" w:cs="Times New Roman"/>
                      <w:b/>
                      <w:bCs/>
                    </w:rPr>
                    <w:t>备注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9" w:hRule="atLeast"/>
                <w:jc w:val="center"/>
              </w:trPr>
              <w:tc>
                <w:tcPr>
                  <w:tcW w:w="675" w:type="dxa"/>
                  <w:tcBorders>
                    <w:top w:val="single" w:color="000000" w:themeColor="text1" w:sz="12" w:space="0"/>
                  </w:tcBorders>
                  <w:vAlign w:val="center"/>
                </w:tcPr>
                <w:p>
                  <w:pPr>
                    <w:tabs>
                      <w:tab w:val="left" w:pos="180"/>
                    </w:tabs>
                    <w:jc w:val="center"/>
                    <w:rPr>
                      <w:rFonts w:ascii="Times New Roman" w:hAnsi="Times New Roman" w:cs="Times New Roman"/>
                    </w:rPr>
                  </w:pPr>
                  <w:r>
                    <w:rPr>
                      <w:rFonts w:ascii="Times New Roman" w:hAnsi="Times New Roman" w:cs="Times New Roman"/>
                    </w:rPr>
                    <w:t>1</w:t>
                  </w:r>
                </w:p>
              </w:tc>
              <w:tc>
                <w:tcPr>
                  <w:tcW w:w="1720" w:type="dxa"/>
                  <w:tcBorders>
                    <w:top w:val="single" w:color="000000" w:themeColor="text1" w:sz="12" w:space="0"/>
                    <w:bottom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举升机</w:t>
                  </w:r>
                </w:p>
              </w:tc>
              <w:tc>
                <w:tcPr>
                  <w:tcW w:w="1173" w:type="dxa"/>
                  <w:tcBorders>
                    <w:top w:val="single" w:color="000000" w:themeColor="text1" w:sz="12" w:space="0"/>
                    <w:bottom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8</w:t>
                  </w:r>
                </w:p>
              </w:tc>
              <w:tc>
                <w:tcPr>
                  <w:tcW w:w="1731" w:type="dxa"/>
                  <w:tcBorders>
                    <w:top w:val="single" w:color="000000" w:themeColor="text1" w:sz="12" w:space="0"/>
                    <w:bottom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举升机</w:t>
                  </w:r>
                </w:p>
              </w:tc>
              <w:tc>
                <w:tcPr>
                  <w:tcW w:w="1214" w:type="dxa"/>
                  <w:tcBorders>
                    <w:top w:val="single" w:color="000000" w:themeColor="text1" w:sz="12" w:space="0"/>
                    <w:bottom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8</w:t>
                  </w:r>
                </w:p>
              </w:tc>
              <w:tc>
                <w:tcPr>
                  <w:tcW w:w="1399" w:type="dxa"/>
                  <w:tcBorders>
                    <w:top w:val="single" w:color="000000" w:themeColor="text1" w:sz="12" w:space="0"/>
                    <w:bottom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与环评一致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7" w:hRule="atLeast"/>
                <w:jc w:val="center"/>
              </w:trPr>
              <w:tc>
                <w:tcPr>
                  <w:tcW w:w="675" w:type="dxa"/>
                  <w:vAlign w:val="center"/>
                </w:tcPr>
                <w:p>
                  <w:pPr>
                    <w:tabs>
                      <w:tab w:val="left" w:pos="180"/>
                    </w:tabs>
                    <w:jc w:val="center"/>
                    <w:rPr>
                      <w:rFonts w:ascii="Times New Roman" w:hAnsi="Times New Roman" w:cs="Times New Roman"/>
                    </w:rPr>
                  </w:pPr>
                  <w:r>
                    <w:rPr>
                      <w:rFonts w:ascii="Times New Roman" w:hAnsi="Times New Roman" w:cs="Times New Roman"/>
                    </w:rPr>
                    <w:t>2</w:t>
                  </w:r>
                </w:p>
              </w:tc>
              <w:tc>
                <w:tcPr>
                  <w:tcW w:w="1720" w:type="dxa"/>
                  <w:tcBorders>
                    <w:top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喷烤漆房</w:t>
                  </w:r>
                </w:p>
              </w:tc>
              <w:tc>
                <w:tcPr>
                  <w:tcW w:w="1173" w:type="dxa"/>
                  <w:tcBorders>
                    <w:top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1</w:t>
                  </w:r>
                </w:p>
              </w:tc>
              <w:tc>
                <w:tcPr>
                  <w:tcW w:w="1731" w:type="dxa"/>
                  <w:tcBorders>
                    <w:top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喷烤漆房</w:t>
                  </w:r>
                </w:p>
              </w:tc>
              <w:tc>
                <w:tcPr>
                  <w:tcW w:w="1214" w:type="dxa"/>
                  <w:tcBorders>
                    <w:top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1</w:t>
                  </w:r>
                </w:p>
              </w:tc>
              <w:tc>
                <w:tcPr>
                  <w:tcW w:w="1399" w:type="dxa"/>
                  <w:tcBorders>
                    <w:top w:val="single" w:color="000000" w:themeColor="text1" w:sz="6" w:space="0"/>
                  </w:tcBorders>
                  <w:vAlign w:val="center"/>
                </w:tcPr>
                <w:p>
                  <w:pPr>
                    <w:jc w:val="center"/>
                    <w:rPr>
                      <w:rFonts w:ascii="Times New Roman" w:hAnsi="Times New Roman" w:cs="Times New Roman"/>
                    </w:rPr>
                  </w:pPr>
                  <w:r>
                    <w:rPr>
                      <w:rFonts w:ascii="Times New Roman" w:hAnsi="Times New Roman" w:cs="Times New Roman"/>
                    </w:rPr>
                    <w:t>与环评一致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tabs>
                      <w:tab w:val="left" w:pos="180"/>
                    </w:tabs>
                    <w:jc w:val="center"/>
                    <w:rPr>
                      <w:rFonts w:ascii="Times New Roman" w:hAnsi="Times New Roman" w:cs="Times New Roman"/>
                    </w:rPr>
                  </w:pPr>
                  <w:r>
                    <w:rPr>
                      <w:rFonts w:ascii="Times New Roman" w:hAnsi="Times New Roman" w:cs="Times New Roman"/>
                    </w:rPr>
                    <w:t>3</w:t>
                  </w:r>
                </w:p>
              </w:tc>
              <w:tc>
                <w:tcPr>
                  <w:tcW w:w="172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油漆喷枪</w:t>
                  </w:r>
                </w:p>
              </w:tc>
              <w:tc>
                <w:tcPr>
                  <w:tcW w:w="11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w:t>
                  </w:r>
                </w:p>
              </w:tc>
              <w:tc>
                <w:tcPr>
                  <w:tcW w:w="17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油漆喷枪</w:t>
                  </w:r>
                </w:p>
              </w:tc>
              <w:tc>
                <w:tcPr>
                  <w:tcW w:w="121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w:t>
                  </w:r>
                </w:p>
              </w:tc>
              <w:tc>
                <w:tcPr>
                  <w:tcW w:w="139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与环评一致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tabs>
                      <w:tab w:val="left" w:pos="180"/>
                    </w:tabs>
                    <w:jc w:val="center"/>
                    <w:rPr>
                      <w:rFonts w:ascii="Times New Roman" w:hAnsi="Times New Roman" w:cs="Times New Roman"/>
                    </w:rPr>
                  </w:pPr>
                  <w:r>
                    <w:rPr>
                      <w:rFonts w:ascii="Times New Roman" w:hAnsi="Times New Roman" w:cs="Times New Roman"/>
                    </w:rPr>
                    <w:t>4</w:t>
                  </w:r>
                </w:p>
              </w:tc>
              <w:tc>
                <w:tcPr>
                  <w:tcW w:w="172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钣金工位</w:t>
                  </w:r>
                </w:p>
              </w:tc>
              <w:tc>
                <w:tcPr>
                  <w:tcW w:w="11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7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钣金工位</w:t>
                  </w:r>
                </w:p>
              </w:tc>
              <w:tc>
                <w:tcPr>
                  <w:tcW w:w="121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39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与环评一致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tabs>
                      <w:tab w:val="left" w:pos="180"/>
                    </w:tabs>
                    <w:jc w:val="center"/>
                    <w:rPr>
                      <w:rFonts w:ascii="Times New Roman" w:hAnsi="Times New Roman" w:cs="Times New Roman"/>
                    </w:rPr>
                  </w:pPr>
                  <w:r>
                    <w:rPr>
                      <w:rFonts w:ascii="Times New Roman" w:hAnsi="Times New Roman" w:cs="Times New Roman"/>
                    </w:rPr>
                    <w:t>5</w:t>
                  </w:r>
                </w:p>
              </w:tc>
              <w:tc>
                <w:tcPr>
                  <w:tcW w:w="172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集油器</w:t>
                  </w:r>
                </w:p>
              </w:tc>
              <w:tc>
                <w:tcPr>
                  <w:tcW w:w="11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w:t>
                  </w:r>
                </w:p>
              </w:tc>
              <w:tc>
                <w:tcPr>
                  <w:tcW w:w="17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集油器</w:t>
                  </w:r>
                </w:p>
              </w:tc>
              <w:tc>
                <w:tcPr>
                  <w:tcW w:w="121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w:t>
                  </w:r>
                </w:p>
              </w:tc>
              <w:tc>
                <w:tcPr>
                  <w:tcW w:w="139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与环评一致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tabs>
                      <w:tab w:val="left" w:pos="180"/>
                    </w:tabs>
                    <w:jc w:val="center"/>
                    <w:rPr>
                      <w:rFonts w:ascii="Times New Roman" w:hAnsi="Times New Roman" w:cs="Times New Roman"/>
                    </w:rPr>
                  </w:pPr>
                  <w:r>
                    <w:rPr>
                      <w:rFonts w:ascii="Times New Roman" w:hAnsi="Times New Roman" w:cs="Times New Roman"/>
                    </w:rPr>
                    <w:t>6</w:t>
                  </w:r>
                </w:p>
              </w:tc>
              <w:tc>
                <w:tcPr>
                  <w:tcW w:w="172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补胎机</w:t>
                  </w:r>
                </w:p>
              </w:tc>
              <w:tc>
                <w:tcPr>
                  <w:tcW w:w="11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7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补胎机</w:t>
                  </w:r>
                </w:p>
              </w:tc>
              <w:tc>
                <w:tcPr>
                  <w:tcW w:w="121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39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与环评一致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tabs>
                      <w:tab w:val="left" w:pos="180"/>
                    </w:tabs>
                    <w:jc w:val="center"/>
                    <w:rPr>
                      <w:rFonts w:ascii="Times New Roman" w:hAnsi="Times New Roman" w:cs="Times New Roman"/>
                    </w:rPr>
                  </w:pPr>
                  <w:r>
                    <w:rPr>
                      <w:rFonts w:ascii="Times New Roman" w:hAnsi="Times New Roman" w:cs="Times New Roman"/>
                    </w:rPr>
                    <w:t>7</w:t>
                  </w:r>
                </w:p>
              </w:tc>
              <w:tc>
                <w:tcPr>
                  <w:tcW w:w="172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平衡机</w:t>
                  </w:r>
                </w:p>
              </w:tc>
              <w:tc>
                <w:tcPr>
                  <w:tcW w:w="11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7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平衡机</w:t>
                  </w:r>
                </w:p>
              </w:tc>
              <w:tc>
                <w:tcPr>
                  <w:tcW w:w="121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39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与环评一致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tabs>
                      <w:tab w:val="left" w:pos="180"/>
                    </w:tabs>
                    <w:jc w:val="center"/>
                    <w:rPr>
                      <w:rFonts w:ascii="Times New Roman" w:hAnsi="Times New Roman" w:cs="Times New Roman"/>
                    </w:rPr>
                  </w:pPr>
                  <w:r>
                    <w:rPr>
                      <w:rFonts w:ascii="Times New Roman" w:hAnsi="Times New Roman" w:cs="Times New Roman"/>
                    </w:rPr>
                    <w:t>8</w:t>
                  </w:r>
                </w:p>
              </w:tc>
              <w:tc>
                <w:tcPr>
                  <w:tcW w:w="172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冲压机</w:t>
                  </w:r>
                </w:p>
              </w:tc>
              <w:tc>
                <w:tcPr>
                  <w:tcW w:w="11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7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冲压机</w:t>
                  </w:r>
                </w:p>
              </w:tc>
              <w:tc>
                <w:tcPr>
                  <w:tcW w:w="121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39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与环评一致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tabs>
                      <w:tab w:val="left" w:pos="180"/>
                    </w:tabs>
                    <w:jc w:val="center"/>
                    <w:rPr>
                      <w:rFonts w:ascii="Times New Roman" w:hAnsi="Times New Roman" w:cs="Times New Roman"/>
                    </w:rPr>
                  </w:pPr>
                  <w:r>
                    <w:rPr>
                      <w:rFonts w:ascii="Times New Roman" w:hAnsi="Times New Roman" w:cs="Times New Roman"/>
                    </w:rPr>
                    <w:t>9</w:t>
                  </w:r>
                </w:p>
              </w:tc>
              <w:tc>
                <w:tcPr>
                  <w:tcW w:w="172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减震弹簧拆装器</w:t>
                  </w:r>
                </w:p>
              </w:tc>
              <w:tc>
                <w:tcPr>
                  <w:tcW w:w="11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7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减震弹簧拆装器</w:t>
                  </w:r>
                </w:p>
              </w:tc>
              <w:tc>
                <w:tcPr>
                  <w:tcW w:w="121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39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与环评一致</w:t>
                  </w:r>
                </w:p>
              </w:tc>
            </w:tr>
          </w:tbl>
          <w:p>
            <w:pPr>
              <w:pStyle w:val="2"/>
              <w:spacing w:line="360" w:lineRule="auto"/>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4.7、劳动定员</w:t>
            </w:r>
          </w:p>
          <w:p>
            <w:pPr>
              <w:pStyle w:val="2"/>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环评设计劳动定员为30人，其中，生产人员22人，管理人员8人。员工均为当地居民，不在厂内住宿。项目按照1班制安排生产作业班次，每班工作8小时，年工作天数为300天。项</w:t>
            </w:r>
            <w:r>
              <w:rPr>
                <w:rFonts w:hint="default" w:ascii="Times New Roman" w:hAnsi="Times New Roman" w:cs="Times New Roman"/>
                <w:color w:val="000000" w:themeColor="text1"/>
              </w:rPr>
              <w:t>目实际职工总人数为30人，全年工作300天，每天工作8小时。厂区不提供食</w:t>
            </w:r>
            <w:r>
              <w:rPr>
                <w:rFonts w:hint="default" w:ascii="Times New Roman" w:hAnsi="Times New Roman" w:cs="Times New Roman"/>
              </w:rPr>
              <w:t>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3" w:hRule="atLeast"/>
        </w:trPr>
        <w:tc>
          <w:tcPr>
            <w:tcW w:w="8509" w:type="dxa"/>
          </w:tcPr>
          <w:p>
            <w:pPr>
              <w:pStyle w:val="4"/>
              <w:spacing w:line="360" w:lineRule="auto"/>
              <w:rPr>
                <w:rFonts w:ascii="Times New Roman" w:hAnsi="Times New Roman" w:eastAsia="宋体" w:cs="Times New Roman"/>
                <w:sz w:val="24"/>
              </w:rPr>
            </w:pPr>
            <w:r>
              <w:rPr>
                <w:rFonts w:ascii="Times New Roman" w:hAnsi="Times New Roman" w:eastAsia="宋体" w:cs="Times New Roman"/>
                <w:sz w:val="24"/>
              </w:rPr>
              <w:t>4.8、工艺简介</w:t>
            </w:r>
          </w:p>
          <w:p>
            <w:pPr>
              <w:rPr>
                <w:rFonts w:ascii="Times New Roman" w:hAnsi="Times New Roman" w:cs="Times New Roman"/>
                <w:color w:val="000000"/>
                <w:kern w:val="0"/>
                <w:sz w:val="24"/>
                <w:szCs w:val="22"/>
              </w:rPr>
            </w:pPr>
            <w:bookmarkStart w:id="7" w:name="OLE_LINK6"/>
            <w:bookmarkStart w:id="8" w:name="OLE_LINK5"/>
            <w:r>
              <w:rPr>
                <w:rFonts w:ascii="Times New Roman" w:hAnsi="Times New Roman" w:cs="Times New Roman"/>
                <w:b/>
                <w:bCs/>
                <w:szCs w:val="21"/>
              </w:rPr>
              <w:object>
                <v:shape id="_x0000_i1026" o:spt="75" type="#_x0000_t75" style="height:289.5pt;width:411pt;" o:ole="t" filled="f" o:preferrelative="t" stroked="f" coordsize="21600,21600">
                  <v:path/>
                  <v:fill on="f" focussize="0,0"/>
                  <v:stroke on="f" joinstyle="miter"/>
                  <v:imagedata r:id="rId24" o:title=""/>
                  <o:lock v:ext="edit" aspectratio="t"/>
                  <w10:wrap type="none"/>
                  <w10:anchorlock/>
                </v:shape>
                <o:OLEObject Type="Embed" ProgID="Visio.Drawing.11" ShapeID="_x0000_i1026" DrawAspect="Content" ObjectID="_1468075726" r:id="rId23">
                  <o:LockedField>false</o:LockedField>
                </o:OLEObject>
              </w:object>
            </w:r>
            <w:bookmarkEnd w:id="7"/>
            <w:bookmarkEnd w:id="8"/>
          </w:p>
          <w:p>
            <w:pPr>
              <w:pStyle w:val="2"/>
              <w:spacing w:line="360" w:lineRule="auto"/>
              <w:jc w:val="both"/>
              <w:rPr>
                <w:rFonts w:hint="default" w:ascii="Times New Roman" w:hAnsi="Times New Roman" w:cs="Times New Roman"/>
              </w:rPr>
            </w:pPr>
            <w:r>
              <w:rPr>
                <w:rFonts w:hint="default" w:ascii="Times New Roman" w:hAnsi="Times New Roman" w:cs="Times New Roman"/>
              </w:rPr>
              <w:t>项目工艺流程及产污简介：</w:t>
            </w:r>
          </w:p>
          <w:p>
            <w:pPr>
              <w:pStyle w:val="14"/>
              <w:adjustRightInd w:val="0"/>
              <w:snapToGrid w:val="0"/>
              <w:spacing w:beforeAutospacing="0" w:afterAutospacing="0"/>
              <w:ind w:firstLine="480" w:firstLineChars="200"/>
              <w:jc w:val="both"/>
              <w:rPr>
                <w:rFonts w:ascii="Times New Roman" w:hAnsi="Times New Roman"/>
                <w:color w:val="000000"/>
                <w:szCs w:val="22"/>
              </w:rPr>
            </w:pPr>
            <w:r>
              <w:rPr>
                <w:rFonts w:ascii="Times New Roman" w:hAnsi="Times New Roman"/>
                <w:color w:val="000000"/>
                <w:szCs w:val="22"/>
              </w:rPr>
              <w:t>待保养维修的车辆经接待登记后，由工作人员进行检查后，根据车辆出现的问题作保养或维修处理。</w:t>
            </w:r>
          </w:p>
          <w:p>
            <w:pPr>
              <w:adjustRightInd w:val="0"/>
              <w:snapToGrid w:val="0"/>
              <w:ind w:firstLine="480" w:firstLineChars="200"/>
              <w:rPr>
                <w:rFonts w:ascii="Times New Roman" w:hAnsi="Times New Roman" w:cs="Times New Roman"/>
                <w:color w:val="000000"/>
                <w:kern w:val="0"/>
                <w:sz w:val="24"/>
                <w:szCs w:val="22"/>
              </w:rPr>
            </w:pPr>
            <w:r>
              <w:rPr>
                <w:rFonts w:ascii="Times New Roman" w:hAnsi="Times New Roman" w:cs="Times New Roman"/>
                <w:color w:val="000000"/>
                <w:kern w:val="0"/>
                <w:sz w:val="24"/>
                <w:szCs w:val="22"/>
              </w:rPr>
              <w:t>对于需保养的车辆，根据车辆自身需求进行更换机油、机油滤芯、空气滤芯等，此过程会产生少量的废机油及废零部件。</w:t>
            </w:r>
          </w:p>
          <w:p>
            <w:pPr>
              <w:pStyle w:val="14"/>
              <w:adjustRightInd w:val="0"/>
              <w:snapToGrid w:val="0"/>
              <w:spacing w:beforeAutospacing="0" w:afterAutospacing="0"/>
              <w:ind w:firstLine="480" w:firstLineChars="200"/>
              <w:jc w:val="both"/>
              <w:rPr>
                <w:rFonts w:ascii="Times New Roman" w:hAnsi="Times New Roman"/>
                <w:color w:val="000000"/>
                <w:szCs w:val="22"/>
              </w:rPr>
            </w:pPr>
            <w:r>
              <w:rPr>
                <w:rFonts w:ascii="Times New Roman" w:hAnsi="Times New Roman"/>
                <w:color w:val="000000"/>
                <w:szCs w:val="22"/>
              </w:rPr>
              <w:t>对于受损车辆的维修一般包括更换坏零部件、电路维修、钣金修理、焊接处理、补漆处理。钣金修理主要是对汽车外型进行整平，部分外表面刮花的车辆需要进行喷漆处理，喷漆、烤漆工序均在密闭的喷烤漆房内进行。汽车维修过程会产生一定量的焊接烟尘、漆雾、油漆废气、噪声和固体废物。</w:t>
            </w:r>
          </w:p>
          <w:p>
            <w:pPr>
              <w:pStyle w:val="14"/>
              <w:adjustRightInd w:val="0"/>
              <w:snapToGrid w:val="0"/>
              <w:spacing w:beforeAutospacing="0" w:afterAutospacing="0"/>
              <w:ind w:firstLine="480" w:firstLineChars="200"/>
              <w:jc w:val="both"/>
              <w:rPr>
                <w:rFonts w:ascii="Times New Roman" w:hAnsi="Times New Roman"/>
                <w:kern w:val="2"/>
              </w:rPr>
            </w:pPr>
            <w:r>
              <w:rPr>
                <w:rFonts w:ascii="Times New Roman" w:hAnsi="Times New Roman"/>
                <w:color w:val="000000"/>
                <w:szCs w:val="22"/>
              </w:rPr>
              <w:t>车辆经保养维修并测试合格后，可进行清洗，本项目洗车服务仅针对进店维修车辆，不对外，采用水枪喷水进行清洗，洗车废水中主要含有石油类、SS等污染物</w:t>
            </w:r>
            <w:r>
              <w:rPr>
                <w:rFonts w:ascii="Times New Roman" w:hAnsi="Times New Roman"/>
              </w:rPr>
              <w:t>。</w:t>
            </w:r>
          </w:p>
          <w:p>
            <w:pPr>
              <w:jc w:val="center"/>
              <w:rPr>
                <w:rFonts w:ascii="Times New Roman" w:hAnsi="Times New Roman" w:cs="Times New Roman"/>
                <w:b/>
                <w:bCs/>
              </w:rPr>
            </w:pPr>
            <w:r>
              <w:rPr>
                <w:rFonts w:ascii="Times New Roman" w:hAnsi="Times New Roman" w:cs="Times New Roman"/>
                <w:b/>
                <w:bCs/>
              </w:rPr>
              <w:t>表4.8-1  产污节点汇总表</w:t>
            </w:r>
          </w:p>
          <w:tbl>
            <w:tblPr>
              <w:tblStyle w:val="16"/>
              <w:tblW w:w="818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941"/>
              <w:gridCol w:w="1950"/>
              <w:gridCol w:w="25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701" w:type="dxa"/>
                  <w:tcBorders>
                    <w:top w:val="single" w:color="auto" w:sz="12" w:space="0"/>
                    <w:bottom w:val="single" w:color="auto" w:sz="12" w:space="0"/>
                  </w:tcBorders>
                  <w:vAlign w:val="center"/>
                </w:tcPr>
                <w:p>
                  <w:pPr>
                    <w:pStyle w:val="30"/>
                    <w:spacing w:line="240" w:lineRule="auto"/>
                    <w:rPr>
                      <w:rFonts w:hAnsi="Times New Roman" w:cs="Times New Roman"/>
                      <w:b/>
                      <w:bCs/>
                    </w:rPr>
                  </w:pPr>
                  <w:r>
                    <w:rPr>
                      <w:rFonts w:hAnsi="Times New Roman" w:cs="Times New Roman"/>
                      <w:b/>
                      <w:bCs/>
                    </w:rPr>
                    <w:t>污染物种类</w:t>
                  </w:r>
                </w:p>
              </w:tc>
              <w:tc>
                <w:tcPr>
                  <w:tcW w:w="1941" w:type="dxa"/>
                  <w:tcBorders>
                    <w:top w:val="single" w:color="auto" w:sz="12" w:space="0"/>
                    <w:bottom w:val="single" w:color="auto" w:sz="12" w:space="0"/>
                  </w:tcBorders>
                  <w:vAlign w:val="center"/>
                </w:tcPr>
                <w:p>
                  <w:pPr>
                    <w:pStyle w:val="30"/>
                    <w:spacing w:line="240" w:lineRule="auto"/>
                    <w:rPr>
                      <w:rFonts w:hAnsi="Times New Roman" w:cs="Times New Roman"/>
                      <w:b/>
                      <w:bCs/>
                    </w:rPr>
                  </w:pPr>
                  <w:r>
                    <w:rPr>
                      <w:rFonts w:hAnsi="Times New Roman" w:cs="Times New Roman"/>
                      <w:b/>
                      <w:bCs/>
                    </w:rPr>
                    <w:t>产污工段/污染源</w:t>
                  </w:r>
                </w:p>
              </w:tc>
              <w:tc>
                <w:tcPr>
                  <w:tcW w:w="1950" w:type="dxa"/>
                  <w:tcBorders>
                    <w:top w:val="single" w:color="auto" w:sz="12" w:space="0"/>
                    <w:bottom w:val="single" w:color="auto" w:sz="12" w:space="0"/>
                  </w:tcBorders>
                  <w:vAlign w:val="center"/>
                </w:tcPr>
                <w:p>
                  <w:pPr>
                    <w:pStyle w:val="30"/>
                    <w:spacing w:line="240" w:lineRule="auto"/>
                    <w:rPr>
                      <w:rFonts w:hAnsi="Times New Roman" w:cs="Times New Roman"/>
                      <w:b/>
                      <w:bCs/>
                    </w:rPr>
                  </w:pPr>
                  <w:r>
                    <w:rPr>
                      <w:rFonts w:hAnsi="Times New Roman" w:cs="Times New Roman"/>
                      <w:b/>
                      <w:bCs/>
                    </w:rPr>
                    <w:t>污染物名称</w:t>
                  </w:r>
                </w:p>
              </w:tc>
              <w:tc>
                <w:tcPr>
                  <w:tcW w:w="2591" w:type="dxa"/>
                  <w:tcBorders>
                    <w:top w:val="single" w:color="auto" w:sz="12" w:space="0"/>
                    <w:bottom w:val="single" w:color="auto" w:sz="12" w:space="0"/>
                  </w:tcBorders>
                  <w:vAlign w:val="center"/>
                </w:tcPr>
                <w:p>
                  <w:pPr>
                    <w:pStyle w:val="30"/>
                    <w:spacing w:line="240" w:lineRule="auto"/>
                    <w:rPr>
                      <w:rFonts w:hAnsi="Times New Roman" w:cs="Times New Roman"/>
                      <w:b/>
                      <w:bCs/>
                    </w:rPr>
                  </w:pPr>
                  <w:r>
                    <w:rPr>
                      <w:rFonts w:hAnsi="Times New Roman" w:cs="Times New Roman"/>
                      <w:b/>
                      <w:bCs/>
                    </w:rPr>
                    <w:t>主要污染物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restart"/>
                  <w:tcBorders>
                    <w:top w:val="single" w:color="auto" w:sz="12" w:space="0"/>
                  </w:tcBorders>
                  <w:vAlign w:val="center"/>
                </w:tcPr>
                <w:p>
                  <w:pPr>
                    <w:pStyle w:val="30"/>
                    <w:spacing w:line="240" w:lineRule="auto"/>
                    <w:rPr>
                      <w:rFonts w:hAnsi="Times New Roman" w:cs="Times New Roman"/>
                    </w:rPr>
                  </w:pPr>
                  <w:r>
                    <w:rPr>
                      <w:rFonts w:hAnsi="Times New Roman" w:cs="Times New Roman"/>
                    </w:rPr>
                    <w:t>废气</w:t>
                  </w:r>
                </w:p>
              </w:tc>
              <w:tc>
                <w:tcPr>
                  <w:tcW w:w="1941" w:type="dxa"/>
                  <w:tcBorders>
                    <w:top w:val="single" w:color="auto" w:sz="12" w:space="0"/>
                  </w:tcBorders>
                  <w:vAlign w:val="center"/>
                </w:tcPr>
                <w:p>
                  <w:pPr>
                    <w:pStyle w:val="30"/>
                    <w:spacing w:line="240" w:lineRule="auto"/>
                    <w:rPr>
                      <w:rFonts w:hAnsi="Times New Roman" w:cs="Times New Roman"/>
                    </w:rPr>
                  </w:pPr>
                  <w:r>
                    <w:rPr>
                      <w:rFonts w:hAnsi="Times New Roman" w:cs="Times New Roman"/>
                    </w:rPr>
                    <w:t>补漆</w:t>
                  </w:r>
                </w:p>
              </w:tc>
              <w:tc>
                <w:tcPr>
                  <w:tcW w:w="1950" w:type="dxa"/>
                  <w:tcBorders>
                    <w:top w:val="single" w:color="auto" w:sz="12" w:space="0"/>
                  </w:tcBorders>
                  <w:vAlign w:val="center"/>
                </w:tcPr>
                <w:p>
                  <w:pPr>
                    <w:pStyle w:val="30"/>
                    <w:spacing w:line="240" w:lineRule="auto"/>
                    <w:rPr>
                      <w:rFonts w:hAnsi="Times New Roman" w:cs="Times New Roman"/>
                    </w:rPr>
                  </w:pPr>
                  <w:r>
                    <w:rPr>
                      <w:rFonts w:hAnsi="Times New Roman" w:cs="Times New Roman"/>
                    </w:rPr>
                    <w:t>油漆废气</w:t>
                  </w:r>
                </w:p>
              </w:tc>
              <w:tc>
                <w:tcPr>
                  <w:tcW w:w="2591" w:type="dxa"/>
                  <w:tcBorders>
                    <w:top w:val="single" w:color="auto" w:sz="12" w:space="0"/>
                  </w:tcBorders>
                  <w:vAlign w:val="center"/>
                </w:tcPr>
                <w:p>
                  <w:pPr>
                    <w:pStyle w:val="30"/>
                    <w:spacing w:line="240" w:lineRule="auto"/>
                    <w:rPr>
                      <w:rFonts w:hAnsi="Times New Roman" w:cs="Times New Roman"/>
                    </w:rPr>
                  </w:pPr>
                  <w:r>
                    <w:rPr>
                      <w:rStyle w:val="20"/>
                      <w:rFonts w:hAnsi="Times New Roman" w:cs="Times New Roman"/>
                      <w:kern w:val="0"/>
                    </w:rPr>
                    <w:t>甲苯、</w:t>
                  </w:r>
                  <w:r>
                    <w:rPr>
                      <w:rFonts w:hAnsi="Times New Roman" w:cs="Times New Roman"/>
                    </w:rPr>
                    <w:t>二甲苯、VOCs（以非甲烷总烃计）等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continue"/>
                  <w:vAlign w:val="center"/>
                </w:tcPr>
                <w:p>
                  <w:pPr>
                    <w:pStyle w:val="30"/>
                    <w:spacing w:line="240" w:lineRule="auto"/>
                    <w:rPr>
                      <w:rFonts w:hAnsi="Times New Roman" w:cs="Times New Roman"/>
                    </w:rPr>
                  </w:pPr>
                </w:p>
              </w:tc>
              <w:tc>
                <w:tcPr>
                  <w:tcW w:w="1941" w:type="dxa"/>
                  <w:vAlign w:val="center"/>
                </w:tcPr>
                <w:p>
                  <w:pPr>
                    <w:pStyle w:val="30"/>
                    <w:spacing w:line="240" w:lineRule="auto"/>
                    <w:rPr>
                      <w:rFonts w:hAnsi="Times New Roman" w:cs="Times New Roman"/>
                    </w:rPr>
                  </w:pPr>
                  <w:r>
                    <w:rPr>
                      <w:rFonts w:hAnsi="Times New Roman" w:cs="Times New Roman"/>
                    </w:rPr>
                    <w:t>焊接</w:t>
                  </w:r>
                </w:p>
              </w:tc>
              <w:tc>
                <w:tcPr>
                  <w:tcW w:w="1950" w:type="dxa"/>
                  <w:vAlign w:val="center"/>
                </w:tcPr>
                <w:p>
                  <w:pPr>
                    <w:pStyle w:val="30"/>
                    <w:spacing w:line="240" w:lineRule="auto"/>
                    <w:rPr>
                      <w:rFonts w:hAnsi="Times New Roman" w:cs="Times New Roman"/>
                    </w:rPr>
                  </w:pPr>
                  <w:r>
                    <w:rPr>
                      <w:rFonts w:hAnsi="Times New Roman" w:cs="Times New Roman"/>
                    </w:rPr>
                    <w:t>焊接烟尘</w:t>
                  </w:r>
                </w:p>
              </w:tc>
              <w:tc>
                <w:tcPr>
                  <w:tcW w:w="2591" w:type="dxa"/>
                  <w:vAlign w:val="center"/>
                </w:tcPr>
                <w:p>
                  <w:pPr>
                    <w:pStyle w:val="30"/>
                    <w:spacing w:line="240" w:lineRule="auto"/>
                    <w:rPr>
                      <w:rFonts w:hAnsi="Times New Roman" w:cs="Times New Roman"/>
                    </w:rPr>
                  </w:pPr>
                  <w:r>
                    <w:rPr>
                      <w:rFonts w:hAnsi="Times New Roman" w:cs="Times New Roma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continue"/>
                  <w:vAlign w:val="center"/>
                </w:tcPr>
                <w:p>
                  <w:pPr>
                    <w:pStyle w:val="30"/>
                    <w:spacing w:line="240" w:lineRule="auto"/>
                    <w:rPr>
                      <w:rFonts w:hAnsi="Times New Roman" w:cs="Times New Roman"/>
                    </w:rPr>
                  </w:pPr>
                </w:p>
              </w:tc>
              <w:tc>
                <w:tcPr>
                  <w:tcW w:w="1941" w:type="dxa"/>
                  <w:vAlign w:val="center"/>
                </w:tcPr>
                <w:p>
                  <w:pPr>
                    <w:pStyle w:val="30"/>
                    <w:spacing w:line="240" w:lineRule="auto"/>
                    <w:rPr>
                      <w:rFonts w:hAnsi="Times New Roman" w:cs="Times New Roman"/>
                    </w:rPr>
                  </w:pPr>
                  <w:r>
                    <w:rPr>
                      <w:rFonts w:hAnsi="Times New Roman" w:cs="Times New Roman"/>
                    </w:rPr>
                    <w:t>钣金修理</w:t>
                  </w:r>
                </w:p>
              </w:tc>
              <w:tc>
                <w:tcPr>
                  <w:tcW w:w="1950" w:type="dxa"/>
                  <w:vAlign w:val="center"/>
                </w:tcPr>
                <w:p>
                  <w:pPr>
                    <w:pStyle w:val="30"/>
                    <w:spacing w:line="240" w:lineRule="auto"/>
                    <w:rPr>
                      <w:rFonts w:hAnsi="Times New Roman" w:cs="Times New Roman"/>
                    </w:rPr>
                  </w:pPr>
                  <w:r>
                    <w:rPr>
                      <w:rFonts w:hAnsi="Times New Roman" w:cs="Times New Roman"/>
                    </w:rPr>
                    <w:t>打磨粉尘</w:t>
                  </w:r>
                </w:p>
              </w:tc>
              <w:tc>
                <w:tcPr>
                  <w:tcW w:w="2591" w:type="dxa"/>
                  <w:vAlign w:val="center"/>
                </w:tcPr>
                <w:p>
                  <w:pPr>
                    <w:pStyle w:val="30"/>
                    <w:spacing w:line="240" w:lineRule="auto"/>
                    <w:rPr>
                      <w:rFonts w:hAnsi="Times New Roman" w:cs="Times New Roman"/>
                    </w:rPr>
                  </w:pPr>
                  <w:r>
                    <w:rPr>
                      <w:rFonts w:hAnsi="Times New Roman" w:cs="Times New Roma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restart"/>
                  <w:vAlign w:val="center"/>
                </w:tcPr>
                <w:p>
                  <w:pPr>
                    <w:pStyle w:val="30"/>
                    <w:spacing w:line="240" w:lineRule="auto"/>
                    <w:rPr>
                      <w:rFonts w:hAnsi="Times New Roman" w:cs="Times New Roman"/>
                    </w:rPr>
                  </w:pPr>
                  <w:r>
                    <w:rPr>
                      <w:rFonts w:hAnsi="Times New Roman" w:cs="Times New Roman"/>
                    </w:rPr>
                    <w:t>废水</w:t>
                  </w:r>
                </w:p>
              </w:tc>
              <w:tc>
                <w:tcPr>
                  <w:tcW w:w="1941" w:type="dxa"/>
                  <w:vAlign w:val="center"/>
                </w:tcPr>
                <w:p>
                  <w:pPr>
                    <w:pStyle w:val="30"/>
                    <w:spacing w:line="240" w:lineRule="auto"/>
                    <w:rPr>
                      <w:rFonts w:hAnsi="Times New Roman" w:cs="Times New Roman"/>
                    </w:rPr>
                  </w:pPr>
                  <w:r>
                    <w:rPr>
                      <w:rFonts w:hAnsi="Times New Roman" w:cs="Times New Roman"/>
                    </w:rPr>
                    <w:t>洗车</w:t>
                  </w:r>
                </w:p>
              </w:tc>
              <w:tc>
                <w:tcPr>
                  <w:tcW w:w="1950" w:type="dxa"/>
                  <w:vAlign w:val="center"/>
                </w:tcPr>
                <w:p>
                  <w:pPr>
                    <w:pStyle w:val="30"/>
                    <w:spacing w:line="240" w:lineRule="auto"/>
                    <w:rPr>
                      <w:rFonts w:hAnsi="Times New Roman" w:cs="Times New Roman"/>
                    </w:rPr>
                  </w:pPr>
                  <w:r>
                    <w:rPr>
                      <w:rFonts w:hAnsi="Times New Roman" w:cs="Times New Roman"/>
                    </w:rPr>
                    <w:t>洗车废水</w:t>
                  </w:r>
                </w:p>
              </w:tc>
              <w:tc>
                <w:tcPr>
                  <w:tcW w:w="2591" w:type="dxa"/>
                  <w:vAlign w:val="center"/>
                </w:tcPr>
                <w:p>
                  <w:pPr>
                    <w:pStyle w:val="30"/>
                    <w:spacing w:line="240" w:lineRule="auto"/>
                    <w:rPr>
                      <w:rFonts w:hAnsi="Times New Roman" w:cs="Times New Roman"/>
                    </w:rPr>
                  </w:pPr>
                  <w:r>
                    <w:rPr>
                      <w:rFonts w:hAnsi="Times New Roman" w:cs="Times New Roman"/>
                    </w:rPr>
                    <w:t>SS、石油类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continue"/>
                  <w:vAlign w:val="center"/>
                </w:tcPr>
                <w:p>
                  <w:pPr>
                    <w:pStyle w:val="30"/>
                    <w:spacing w:line="240" w:lineRule="auto"/>
                    <w:rPr>
                      <w:rFonts w:hAnsi="Times New Roman" w:cs="Times New Roman"/>
                    </w:rPr>
                  </w:pPr>
                </w:p>
              </w:tc>
              <w:tc>
                <w:tcPr>
                  <w:tcW w:w="1941" w:type="dxa"/>
                  <w:vAlign w:val="center"/>
                </w:tcPr>
                <w:p>
                  <w:pPr>
                    <w:pStyle w:val="30"/>
                    <w:spacing w:line="240" w:lineRule="auto"/>
                    <w:rPr>
                      <w:rFonts w:hAnsi="Times New Roman" w:cs="Times New Roman"/>
                    </w:rPr>
                  </w:pPr>
                  <w:r>
                    <w:rPr>
                      <w:rFonts w:hAnsi="Times New Roman" w:cs="Times New Roman"/>
                    </w:rPr>
                    <w:t>员工生活</w:t>
                  </w:r>
                </w:p>
              </w:tc>
              <w:tc>
                <w:tcPr>
                  <w:tcW w:w="1950" w:type="dxa"/>
                  <w:vAlign w:val="center"/>
                </w:tcPr>
                <w:p>
                  <w:pPr>
                    <w:pStyle w:val="30"/>
                    <w:spacing w:line="240" w:lineRule="auto"/>
                    <w:rPr>
                      <w:rFonts w:hAnsi="Times New Roman" w:cs="Times New Roman"/>
                    </w:rPr>
                  </w:pPr>
                  <w:r>
                    <w:rPr>
                      <w:rFonts w:hAnsi="Times New Roman" w:cs="Times New Roman"/>
                    </w:rPr>
                    <w:t>生活污水</w:t>
                  </w:r>
                </w:p>
              </w:tc>
              <w:tc>
                <w:tcPr>
                  <w:tcW w:w="2591" w:type="dxa"/>
                  <w:vAlign w:val="center"/>
                </w:tcPr>
                <w:p>
                  <w:pPr>
                    <w:pStyle w:val="30"/>
                    <w:spacing w:line="240" w:lineRule="auto"/>
                    <w:rPr>
                      <w:rFonts w:hAnsi="Times New Roman" w:cs="Times New Roman"/>
                    </w:rPr>
                  </w:pPr>
                  <w:r>
                    <w:rPr>
                      <w:rFonts w:hAnsi="Times New Roman" w:cs="Times New Roman"/>
                    </w:rPr>
                    <w:t>COD、BOD</w:t>
                  </w:r>
                  <w:r>
                    <w:rPr>
                      <w:rFonts w:hAnsi="Times New Roman" w:cs="Times New Roman"/>
                      <w:vertAlign w:val="subscript"/>
                    </w:rPr>
                    <w:t>5</w:t>
                  </w:r>
                  <w:r>
                    <w:rPr>
                      <w:rFonts w:hAnsi="Times New Roman" w:cs="Times New Roman"/>
                    </w:rPr>
                    <w:t>、SS、氨氮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restart"/>
                  <w:vAlign w:val="center"/>
                </w:tcPr>
                <w:p>
                  <w:pPr>
                    <w:pStyle w:val="30"/>
                    <w:spacing w:line="240" w:lineRule="auto"/>
                    <w:rPr>
                      <w:rFonts w:hAnsi="Times New Roman" w:cs="Times New Roman"/>
                    </w:rPr>
                  </w:pPr>
                  <w:r>
                    <w:rPr>
                      <w:rFonts w:hAnsi="Times New Roman" w:cs="Times New Roman"/>
                    </w:rPr>
                    <w:t>固废</w:t>
                  </w:r>
                </w:p>
              </w:tc>
              <w:tc>
                <w:tcPr>
                  <w:tcW w:w="1941" w:type="dxa"/>
                  <w:vAlign w:val="center"/>
                </w:tcPr>
                <w:p>
                  <w:pPr>
                    <w:pStyle w:val="30"/>
                    <w:spacing w:line="240" w:lineRule="auto"/>
                    <w:rPr>
                      <w:rFonts w:hAnsi="Times New Roman" w:cs="Times New Roman"/>
                    </w:rPr>
                  </w:pPr>
                  <w:r>
                    <w:rPr>
                      <w:rFonts w:hAnsi="Times New Roman" w:cs="Times New Roman"/>
                    </w:rPr>
                    <w:t>更换机油</w:t>
                  </w:r>
                </w:p>
              </w:tc>
              <w:tc>
                <w:tcPr>
                  <w:tcW w:w="1950" w:type="dxa"/>
                  <w:vAlign w:val="center"/>
                </w:tcPr>
                <w:p>
                  <w:pPr>
                    <w:pStyle w:val="30"/>
                    <w:spacing w:line="240" w:lineRule="auto"/>
                    <w:rPr>
                      <w:rFonts w:hAnsi="Times New Roman" w:cs="Times New Roman"/>
                    </w:rPr>
                  </w:pPr>
                  <w:r>
                    <w:rPr>
                      <w:rFonts w:hAnsi="Times New Roman" w:cs="Times New Roman"/>
                    </w:rPr>
                    <w:t>废机油、含油抹布</w:t>
                  </w:r>
                </w:p>
              </w:tc>
              <w:tc>
                <w:tcPr>
                  <w:tcW w:w="2591" w:type="dxa"/>
                  <w:vAlign w:val="center"/>
                </w:tcPr>
                <w:p>
                  <w:pPr>
                    <w:pStyle w:val="30"/>
                    <w:spacing w:line="240" w:lineRule="auto"/>
                    <w:rPr>
                      <w:rFonts w:hAnsi="Times New Roman" w:cs="Times New Roman"/>
                    </w:rPr>
                  </w:pPr>
                  <w:r>
                    <w:rPr>
                      <w:rFonts w:hAnsi="Times New Roman" w:cs="Times New Roman"/>
                    </w:rPr>
                    <w:t>废机油、含油抹布、废机油桶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continue"/>
                  <w:vAlign w:val="center"/>
                </w:tcPr>
                <w:p>
                  <w:pPr>
                    <w:pStyle w:val="30"/>
                    <w:spacing w:line="240" w:lineRule="auto"/>
                    <w:rPr>
                      <w:rFonts w:hAnsi="Times New Roman" w:cs="Times New Roman"/>
                    </w:rPr>
                  </w:pPr>
                </w:p>
              </w:tc>
              <w:tc>
                <w:tcPr>
                  <w:tcW w:w="1941" w:type="dxa"/>
                  <w:vAlign w:val="center"/>
                </w:tcPr>
                <w:p>
                  <w:pPr>
                    <w:pStyle w:val="30"/>
                    <w:spacing w:line="240" w:lineRule="auto"/>
                    <w:rPr>
                      <w:rFonts w:hAnsi="Times New Roman" w:cs="Times New Roman"/>
                    </w:rPr>
                  </w:pPr>
                  <w:r>
                    <w:rPr>
                      <w:rFonts w:hAnsi="Times New Roman" w:cs="Times New Roman"/>
                    </w:rPr>
                    <w:t>更换零部件</w:t>
                  </w:r>
                </w:p>
              </w:tc>
              <w:tc>
                <w:tcPr>
                  <w:tcW w:w="1950" w:type="dxa"/>
                  <w:vAlign w:val="center"/>
                </w:tcPr>
                <w:p>
                  <w:pPr>
                    <w:pStyle w:val="30"/>
                    <w:spacing w:line="240" w:lineRule="auto"/>
                    <w:rPr>
                      <w:rFonts w:hAnsi="Times New Roman" w:cs="Times New Roman"/>
                    </w:rPr>
                  </w:pPr>
                  <w:r>
                    <w:rPr>
                      <w:rFonts w:hAnsi="Times New Roman" w:cs="Times New Roman"/>
                    </w:rPr>
                    <w:t>废零部件</w:t>
                  </w:r>
                </w:p>
              </w:tc>
              <w:tc>
                <w:tcPr>
                  <w:tcW w:w="2591" w:type="dxa"/>
                  <w:vAlign w:val="center"/>
                </w:tcPr>
                <w:p>
                  <w:pPr>
                    <w:pStyle w:val="30"/>
                    <w:spacing w:line="240" w:lineRule="auto"/>
                    <w:rPr>
                      <w:rFonts w:hAnsi="Times New Roman" w:cs="Times New Roman"/>
                    </w:rPr>
                  </w:pPr>
                  <w:r>
                    <w:rPr>
                      <w:rFonts w:hAnsi="Times New Roman" w:cs="Times New Roman"/>
                    </w:rPr>
                    <w:t>废车灯、保险杠、轮胎、废机油滤芯等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continue"/>
                  <w:vAlign w:val="center"/>
                </w:tcPr>
                <w:p>
                  <w:pPr>
                    <w:pStyle w:val="30"/>
                    <w:spacing w:line="240" w:lineRule="auto"/>
                    <w:rPr>
                      <w:rFonts w:hAnsi="Times New Roman" w:cs="Times New Roman"/>
                    </w:rPr>
                  </w:pPr>
                </w:p>
              </w:tc>
              <w:tc>
                <w:tcPr>
                  <w:tcW w:w="1941" w:type="dxa"/>
                  <w:vAlign w:val="center"/>
                </w:tcPr>
                <w:p>
                  <w:pPr>
                    <w:pStyle w:val="30"/>
                    <w:spacing w:line="240" w:lineRule="auto"/>
                    <w:rPr>
                      <w:rFonts w:hAnsi="Times New Roman" w:cs="Times New Roman"/>
                    </w:rPr>
                  </w:pPr>
                  <w:r>
                    <w:rPr>
                      <w:rFonts w:hAnsi="Times New Roman" w:cs="Times New Roman"/>
                    </w:rPr>
                    <w:t>调漆</w:t>
                  </w:r>
                </w:p>
              </w:tc>
              <w:tc>
                <w:tcPr>
                  <w:tcW w:w="1950" w:type="dxa"/>
                  <w:vAlign w:val="center"/>
                </w:tcPr>
                <w:p>
                  <w:pPr>
                    <w:pStyle w:val="30"/>
                    <w:spacing w:line="240" w:lineRule="auto"/>
                    <w:rPr>
                      <w:rFonts w:hAnsi="Times New Roman" w:cs="Times New Roman"/>
                    </w:rPr>
                  </w:pPr>
                  <w:r>
                    <w:rPr>
                      <w:rFonts w:hAnsi="Times New Roman" w:cs="Times New Roman"/>
                    </w:rPr>
                    <w:t>废油</w:t>
                  </w:r>
                  <w:r>
                    <w:rPr>
                      <w:rFonts w:hint="eastAsia" w:hAnsi="Times New Roman" w:cs="Times New Roman"/>
                      <w:lang w:eastAsia="zh-CN"/>
                    </w:rPr>
                    <w:t>漆</w:t>
                  </w:r>
                  <w:r>
                    <w:rPr>
                      <w:rFonts w:hAnsi="Times New Roman" w:cs="Times New Roman"/>
                    </w:rPr>
                    <w:t>桶</w:t>
                  </w:r>
                </w:p>
              </w:tc>
              <w:tc>
                <w:tcPr>
                  <w:tcW w:w="2591" w:type="dxa"/>
                  <w:vAlign w:val="center"/>
                </w:tcPr>
                <w:p>
                  <w:pPr>
                    <w:pStyle w:val="30"/>
                    <w:spacing w:line="240" w:lineRule="auto"/>
                    <w:rPr>
                      <w:rFonts w:hAnsi="Times New Roman" w:cs="Times New Roman"/>
                    </w:rPr>
                  </w:pPr>
                  <w:r>
                    <w:rPr>
                      <w:rFonts w:hAnsi="Times New Roman" w:cs="Times New Roman"/>
                    </w:rPr>
                    <w:t>废油</w:t>
                  </w:r>
                  <w:r>
                    <w:rPr>
                      <w:rFonts w:hint="eastAsia" w:hAnsi="Times New Roman" w:cs="Times New Roman"/>
                      <w:lang w:eastAsia="zh-CN"/>
                    </w:rPr>
                    <w:t>漆</w:t>
                  </w:r>
                  <w:r>
                    <w:rPr>
                      <w:rFonts w:hAnsi="Times New Roman" w:cs="Times New Roma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continue"/>
                  <w:vAlign w:val="center"/>
                </w:tcPr>
                <w:p>
                  <w:pPr>
                    <w:pStyle w:val="30"/>
                    <w:spacing w:line="240" w:lineRule="auto"/>
                    <w:rPr>
                      <w:rFonts w:hAnsi="Times New Roman" w:cs="Times New Roman"/>
                    </w:rPr>
                  </w:pPr>
                </w:p>
              </w:tc>
              <w:tc>
                <w:tcPr>
                  <w:tcW w:w="1941" w:type="dxa"/>
                  <w:vAlign w:val="center"/>
                </w:tcPr>
                <w:p>
                  <w:pPr>
                    <w:pStyle w:val="30"/>
                    <w:spacing w:line="240" w:lineRule="auto"/>
                    <w:rPr>
                      <w:rFonts w:hAnsi="Times New Roman" w:cs="Times New Roman"/>
                    </w:rPr>
                  </w:pPr>
                  <w:r>
                    <w:rPr>
                      <w:rFonts w:hAnsi="Times New Roman" w:cs="Times New Roman"/>
                    </w:rPr>
                    <w:t>活性炭吸附装置</w:t>
                  </w:r>
                </w:p>
              </w:tc>
              <w:tc>
                <w:tcPr>
                  <w:tcW w:w="1950" w:type="dxa"/>
                  <w:vAlign w:val="center"/>
                </w:tcPr>
                <w:p>
                  <w:pPr>
                    <w:pStyle w:val="30"/>
                    <w:spacing w:line="240" w:lineRule="auto"/>
                    <w:rPr>
                      <w:rFonts w:hAnsi="Times New Roman" w:cs="Times New Roman"/>
                    </w:rPr>
                  </w:pPr>
                  <w:r>
                    <w:rPr>
                      <w:rFonts w:hAnsi="Times New Roman" w:cs="Times New Roman"/>
                    </w:rPr>
                    <w:t>废过滤棉和活性炭</w:t>
                  </w:r>
                </w:p>
              </w:tc>
              <w:tc>
                <w:tcPr>
                  <w:tcW w:w="2591" w:type="dxa"/>
                  <w:vAlign w:val="center"/>
                </w:tcPr>
                <w:p>
                  <w:pPr>
                    <w:pStyle w:val="30"/>
                    <w:spacing w:line="240" w:lineRule="auto"/>
                    <w:rPr>
                      <w:rFonts w:hAnsi="Times New Roman" w:cs="Times New Roman"/>
                    </w:rPr>
                  </w:pPr>
                  <w:r>
                    <w:rPr>
                      <w:rFonts w:hAnsi="Times New Roman" w:cs="Times New Roman"/>
                    </w:rPr>
                    <w:t>废过滤棉和活性炭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vMerge w:val="continue"/>
                  <w:tcBorders>
                    <w:bottom w:val="single" w:color="auto" w:sz="4" w:space="0"/>
                  </w:tcBorders>
                  <w:vAlign w:val="center"/>
                </w:tcPr>
                <w:p>
                  <w:pPr>
                    <w:pStyle w:val="30"/>
                    <w:spacing w:line="240" w:lineRule="auto"/>
                    <w:rPr>
                      <w:rFonts w:hAnsi="Times New Roman" w:cs="Times New Roman"/>
                    </w:rPr>
                  </w:pPr>
                </w:p>
              </w:tc>
              <w:tc>
                <w:tcPr>
                  <w:tcW w:w="1941" w:type="dxa"/>
                  <w:tcBorders>
                    <w:bottom w:val="single" w:color="auto" w:sz="4" w:space="0"/>
                  </w:tcBorders>
                  <w:vAlign w:val="center"/>
                </w:tcPr>
                <w:p>
                  <w:pPr>
                    <w:pStyle w:val="30"/>
                    <w:spacing w:line="240" w:lineRule="auto"/>
                    <w:rPr>
                      <w:rFonts w:hAnsi="Times New Roman" w:cs="Times New Roman"/>
                    </w:rPr>
                  </w:pPr>
                  <w:r>
                    <w:rPr>
                      <w:rFonts w:hAnsi="Times New Roman" w:cs="Times New Roman"/>
                    </w:rPr>
                    <w:t>员工生活</w:t>
                  </w:r>
                </w:p>
              </w:tc>
              <w:tc>
                <w:tcPr>
                  <w:tcW w:w="1950" w:type="dxa"/>
                  <w:tcBorders>
                    <w:bottom w:val="single" w:color="auto" w:sz="4" w:space="0"/>
                  </w:tcBorders>
                  <w:vAlign w:val="center"/>
                </w:tcPr>
                <w:p>
                  <w:pPr>
                    <w:pStyle w:val="30"/>
                    <w:spacing w:line="240" w:lineRule="auto"/>
                    <w:rPr>
                      <w:rFonts w:hAnsi="Times New Roman" w:cs="Times New Roman"/>
                    </w:rPr>
                  </w:pPr>
                  <w:r>
                    <w:rPr>
                      <w:rFonts w:hAnsi="Times New Roman" w:cs="Times New Roman"/>
                    </w:rPr>
                    <w:t>生活垃圾</w:t>
                  </w:r>
                </w:p>
              </w:tc>
              <w:tc>
                <w:tcPr>
                  <w:tcW w:w="2591" w:type="dxa"/>
                  <w:tcBorders>
                    <w:bottom w:val="single" w:color="auto" w:sz="4" w:space="0"/>
                  </w:tcBorders>
                  <w:vAlign w:val="center"/>
                </w:tcPr>
                <w:p>
                  <w:pPr>
                    <w:pStyle w:val="30"/>
                    <w:spacing w:line="240" w:lineRule="auto"/>
                    <w:rPr>
                      <w:rFonts w:hAnsi="Times New Roman" w:cs="Times New Roman"/>
                    </w:rPr>
                  </w:pPr>
                  <w:r>
                    <w:rPr>
                      <w:rFonts w:hAnsi="Times New Roman" w:cs="Times New Roman"/>
                    </w:rPr>
                    <w:t>果皮纸屑等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tcBorders>
                    <w:top w:val="single" w:color="auto" w:sz="4" w:space="0"/>
                    <w:bottom w:val="single" w:color="auto" w:sz="12" w:space="0"/>
                  </w:tcBorders>
                  <w:vAlign w:val="center"/>
                </w:tcPr>
                <w:p>
                  <w:pPr>
                    <w:pStyle w:val="30"/>
                    <w:spacing w:line="240" w:lineRule="auto"/>
                    <w:rPr>
                      <w:rFonts w:hAnsi="Times New Roman" w:cs="Times New Roman"/>
                    </w:rPr>
                  </w:pPr>
                  <w:r>
                    <w:rPr>
                      <w:rFonts w:hAnsi="Times New Roman" w:cs="Times New Roman"/>
                    </w:rPr>
                    <w:t>噪声</w:t>
                  </w:r>
                </w:p>
              </w:tc>
              <w:tc>
                <w:tcPr>
                  <w:tcW w:w="1941" w:type="dxa"/>
                  <w:tcBorders>
                    <w:top w:val="single" w:color="auto" w:sz="4" w:space="0"/>
                    <w:bottom w:val="single" w:color="auto" w:sz="12" w:space="0"/>
                  </w:tcBorders>
                  <w:vAlign w:val="center"/>
                </w:tcPr>
                <w:p>
                  <w:pPr>
                    <w:pStyle w:val="30"/>
                    <w:spacing w:line="240" w:lineRule="auto"/>
                    <w:rPr>
                      <w:rFonts w:hAnsi="Times New Roman" w:cs="Times New Roman"/>
                    </w:rPr>
                  </w:pPr>
                  <w:r>
                    <w:rPr>
                      <w:rFonts w:hAnsi="Times New Roman" w:cs="Times New Roman"/>
                    </w:rPr>
                    <w:t>各种设备运转</w:t>
                  </w:r>
                </w:p>
              </w:tc>
              <w:tc>
                <w:tcPr>
                  <w:tcW w:w="1950" w:type="dxa"/>
                  <w:tcBorders>
                    <w:top w:val="single" w:color="auto" w:sz="4" w:space="0"/>
                    <w:bottom w:val="single" w:color="auto" w:sz="12" w:space="0"/>
                  </w:tcBorders>
                  <w:vAlign w:val="center"/>
                </w:tcPr>
                <w:p>
                  <w:pPr>
                    <w:pStyle w:val="30"/>
                    <w:spacing w:line="240" w:lineRule="auto"/>
                    <w:rPr>
                      <w:rFonts w:hAnsi="Times New Roman" w:cs="Times New Roman"/>
                    </w:rPr>
                  </w:pPr>
                  <w:r>
                    <w:rPr>
                      <w:rFonts w:hAnsi="Times New Roman" w:cs="Times New Roman"/>
                    </w:rPr>
                    <w:t>设备噪声</w:t>
                  </w:r>
                </w:p>
              </w:tc>
              <w:tc>
                <w:tcPr>
                  <w:tcW w:w="2591" w:type="dxa"/>
                  <w:tcBorders>
                    <w:top w:val="single" w:color="auto" w:sz="4" w:space="0"/>
                    <w:bottom w:val="single" w:color="auto" w:sz="12" w:space="0"/>
                  </w:tcBorders>
                  <w:vAlign w:val="center"/>
                </w:tcPr>
                <w:p>
                  <w:pPr>
                    <w:pStyle w:val="30"/>
                    <w:spacing w:line="240" w:lineRule="auto"/>
                    <w:rPr>
                      <w:rFonts w:hAnsi="Times New Roman" w:cs="Times New Roman"/>
                    </w:rPr>
                  </w:pPr>
                  <w:r>
                    <w:rPr>
                      <w:rFonts w:hAnsi="Times New Roman" w:cs="Times New Roman"/>
                    </w:rPr>
                    <w:t>噪声</w:t>
                  </w:r>
                </w:p>
              </w:tc>
            </w:tr>
          </w:tbl>
          <w:p>
            <w:pPr>
              <w:pStyle w:val="4"/>
              <w:spacing w:line="360" w:lineRule="auto"/>
              <w:rPr>
                <w:rFonts w:ascii="Times New Roman" w:hAnsi="Times New Roman" w:eastAsia="宋体" w:cs="Times New Roman"/>
                <w:sz w:val="24"/>
              </w:rPr>
            </w:pPr>
            <w:r>
              <w:rPr>
                <w:rFonts w:ascii="Times New Roman" w:hAnsi="Times New Roman" w:eastAsia="宋体" w:cs="Times New Roman"/>
                <w:sz w:val="24"/>
              </w:rPr>
              <w:t>4.9、固废产生量</w:t>
            </w:r>
          </w:p>
          <w:tbl>
            <w:tblPr>
              <w:tblStyle w:val="17"/>
              <w:tblW w:w="819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278"/>
              <w:gridCol w:w="1132"/>
              <w:gridCol w:w="1663"/>
              <w:gridCol w:w="1521"/>
              <w:gridCol w:w="1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49" w:type="dxa"/>
                  <w:tcBorders>
                    <w:tl2br w:val="nil"/>
                    <w:tr2bl w:val="nil"/>
                  </w:tcBorders>
                  <w:vAlign w:val="center"/>
                </w:tcPr>
                <w:p>
                  <w:pPr>
                    <w:pStyle w:val="8"/>
                    <w:jc w:val="center"/>
                    <w:rPr>
                      <w:rFonts w:ascii="Times New Roman" w:hAnsi="Times New Roman" w:cs="Times New Roman"/>
                      <w:b/>
                      <w:bCs/>
                    </w:rPr>
                  </w:pPr>
                  <w:r>
                    <w:rPr>
                      <w:rFonts w:ascii="Times New Roman" w:hAnsi="Times New Roman" w:cs="Times New Roman"/>
                      <w:b/>
                      <w:bCs/>
                    </w:rPr>
                    <w:t>危废类型</w:t>
                  </w:r>
                </w:p>
              </w:tc>
              <w:tc>
                <w:tcPr>
                  <w:tcW w:w="1278" w:type="dxa"/>
                  <w:tcBorders>
                    <w:tl2br w:val="nil"/>
                    <w:tr2bl w:val="nil"/>
                  </w:tcBorders>
                  <w:vAlign w:val="center"/>
                </w:tcPr>
                <w:p>
                  <w:pPr>
                    <w:pStyle w:val="8"/>
                    <w:jc w:val="center"/>
                    <w:rPr>
                      <w:rFonts w:ascii="Times New Roman" w:hAnsi="Times New Roman" w:cs="Times New Roman"/>
                      <w:b/>
                      <w:bCs/>
                    </w:rPr>
                  </w:pPr>
                  <w:r>
                    <w:rPr>
                      <w:rFonts w:ascii="Times New Roman" w:hAnsi="Times New Roman" w:cs="Times New Roman"/>
                      <w:b/>
                      <w:bCs/>
                    </w:rPr>
                    <w:t>固废名称</w:t>
                  </w:r>
                </w:p>
              </w:tc>
              <w:tc>
                <w:tcPr>
                  <w:tcW w:w="1132" w:type="dxa"/>
                  <w:tcBorders>
                    <w:tl2br w:val="nil"/>
                    <w:tr2bl w:val="nil"/>
                  </w:tcBorders>
                  <w:vAlign w:val="center"/>
                </w:tcPr>
                <w:p>
                  <w:pPr>
                    <w:pStyle w:val="8"/>
                    <w:jc w:val="center"/>
                    <w:rPr>
                      <w:rFonts w:ascii="Times New Roman" w:hAnsi="Times New Roman" w:cs="Times New Roman"/>
                      <w:b/>
                      <w:bCs/>
                    </w:rPr>
                  </w:pPr>
                  <w:r>
                    <w:rPr>
                      <w:rFonts w:ascii="Times New Roman" w:hAnsi="Times New Roman" w:cs="Times New Roman"/>
                      <w:b/>
                      <w:bCs/>
                    </w:rPr>
                    <w:t>性质</w:t>
                  </w:r>
                </w:p>
              </w:tc>
              <w:tc>
                <w:tcPr>
                  <w:tcW w:w="1663" w:type="dxa"/>
                  <w:tcBorders>
                    <w:tl2br w:val="nil"/>
                    <w:tr2bl w:val="nil"/>
                  </w:tcBorders>
                  <w:vAlign w:val="center"/>
                </w:tcPr>
                <w:p>
                  <w:pPr>
                    <w:pStyle w:val="8"/>
                    <w:jc w:val="center"/>
                    <w:rPr>
                      <w:rFonts w:ascii="Times New Roman" w:hAnsi="Times New Roman" w:cs="Times New Roman"/>
                      <w:b/>
                      <w:bCs/>
                    </w:rPr>
                  </w:pPr>
                  <w:r>
                    <w:rPr>
                      <w:rFonts w:ascii="Times New Roman" w:hAnsi="Times New Roman" w:cs="Times New Roman"/>
                      <w:b/>
                      <w:bCs/>
                    </w:rPr>
                    <w:t>环评设计产生量（t/a）</w:t>
                  </w:r>
                </w:p>
              </w:tc>
              <w:tc>
                <w:tcPr>
                  <w:tcW w:w="1521" w:type="dxa"/>
                  <w:tcBorders>
                    <w:tl2br w:val="nil"/>
                    <w:tr2bl w:val="nil"/>
                  </w:tcBorders>
                  <w:vAlign w:val="center"/>
                </w:tcPr>
                <w:p>
                  <w:pPr>
                    <w:pStyle w:val="8"/>
                    <w:jc w:val="center"/>
                    <w:rPr>
                      <w:rFonts w:ascii="Times New Roman" w:hAnsi="Times New Roman" w:cs="Times New Roman"/>
                      <w:b/>
                      <w:bCs/>
                    </w:rPr>
                  </w:pPr>
                  <w:r>
                    <w:rPr>
                      <w:rFonts w:ascii="Times New Roman" w:hAnsi="Times New Roman" w:cs="Times New Roman"/>
                      <w:b/>
                      <w:bCs/>
                      <w:szCs w:val="21"/>
                    </w:rPr>
                    <w:t>2020年1月</w:t>
                  </w:r>
                  <w:r>
                    <w:rPr>
                      <w:rFonts w:hint="eastAsia" w:ascii="Times New Roman" w:hAnsi="Times New Roman" w:cs="Times New Roman"/>
                      <w:b/>
                      <w:bCs/>
                      <w:szCs w:val="21"/>
                      <w:lang w:val="en-US" w:eastAsia="zh-CN"/>
                    </w:rPr>
                    <w:t>1日</w:t>
                  </w:r>
                  <w:r>
                    <w:rPr>
                      <w:rFonts w:ascii="Times New Roman" w:hAnsi="Times New Roman" w:cs="Times New Roman"/>
                      <w:b/>
                      <w:bCs/>
                      <w:szCs w:val="21"/>
                    </w:rPr>
                    <w:t>至</w:t>
                  </w:r>
                  <w:r>
                    <w:rPr>
                      <w:rFonts w:hint="eastAsia" w:ascii="Times New Roman" w:hAnsi="Times New Roman" w:cs="Times New Roman"/>
                      <w:b/>
                      <w:bCs/>
                      <w:szCs w:val="21"/>
                      <w:lang w:val="en-US" w:eastAsia="zh-CN"/>
                    </w:rPr>
                    <w:t>4</w:t>
                  </w:r>
                  <w:r>
                    <w:rPr>
                      <w:rFonts w:ascii="Times New Roman" w:hAnsi="Times New Roman" w:cs="Times New Roman"/>
                      <w:b/>
                      <w:bCs/>
                      <w:szCs w:val="21"/>
                    </w:rPr>
                    <w:t>月</w:t>
                  </w:r>
                  <w:r>
                    <w:rPr>
                      <w:rFonts w:hint="eastAsia" w:ascii="Times New Roman" w:hAnsi="Times New Roman" w:cs="Times New Roman"/>
                      <w:b/>
                      <w:bCs/>
                      <w:szCs w:val="21"/>
                      <w:lang w:val="en-US" w:eastAsia="zh-CN"/>
                    </w:rPr>
                    <w:t>30日</w:t>
                  </w:r>
                  <w:r>
                    <w:rPr>
                      <w:rFonts w:ascii="Times New Roman" w:hAnsi="Times New Roman" w:cs="Times New Roman"/>
                      <w:b/>
                      <w:bCs/>
                      <w:szCs w:val="21"/>
                    </w:rPr>
                    <w:t>产生量</w:t>
                  </w:r>
                  <w:r>
                    <w:rPr>
                      <w:rFonts w:ascii="Times New Roman" w:hAnsi="Times New Roman" w:cs="Times New Roman"/>
                      <w:b/>
                      <w:bCs/>
                    </w:rPr>
                    <w:t>（t/a）</w:t>
                  </w:r>
                </w:p>
              </w:tc>
              <w:tc>
                <w:tcPr>
                  <w:tcW w:w="1847" w:type="dxa"/>
                  <w:tcBorders>
                    <w:tl2br w:val="nil"/>
                    <w:tr2bl w:val="nil"/>
                  </w:tcBorders>
                  <w:vAlign w:val="center"/>
                </w:tcPr>
                <w:p>
                  <w:pPr>
                    <w:pStyle w:val="8"/>
                    <w:jc w:val="center"/>
                    <w:rPr>
                      <w:rFonts w:ascii="Times New Roman" w:hAnsi="Times New Roman" w:cs="Times New Roman"/>
                      <w:b/>
                      <w:bCs/>
                    </w:rPr>
                  </w:pPr>
                  <w:r>
                    <w:rPr>
                      <w:rFonts w:ascii="Times New Roman" w:hAnsi="Times New Roman"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49" w:type="dxa"/>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一般固废</w:t>
                  </w:r>
                </w:p>
              </w:tc>
              <w:tc>
                <w:tcPr>
                  <w:tcW w:w="1278" w:type="dxa"/>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废旧零配件</w:t>
                  </w:r>
                </w:p>
              </w:tc>
              <w:tc>
                <w:tcPr>
                  <w:tcW w:w="1132" w:type="dxa"/>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一般工业固废</w:t>
                  </w:r>
                </w:p>
              </w:tc>
              <w:tc>
                <w:tcPr>
                  <w:tcW w:w="1663" w:type="dxa"/>
                  <w:tcBorders>
                    <w:tl2br w:val="nil"/>
                    <w:tr2bl w:val="nil"/>
                  </w:tcBorders>
                  <w:vAlign w:val="center"/>
                </w:tcPr>
                <w:p>
                  <w:pPr>
                    <w:pStyle w:val="8"/>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1521"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0.2</w:t>
                  </w:r>
                </w:p>
              </w:tc>
              <w:tc>
                <w:tcPr>
                  <w:tcW w:w="1847" w:type="dxa"/>
                  <w:tcBorders>
                    <w:tl2br w:val="nil"/>
                    <w:tr2bl w:val="nil"/>
                  </w:tcBorders>
                  <w:vAlign w:val="center"/>
                </w:tcPr>
                <w:p>
                  <w:pPr>
                    <w:pStyle w:val="8"/>
                    <w:jc w:val="center"/>
                    <w:rPr>
                      <w:rFonts w:ascii="Times New Roman" w:hAnsi="Times New Roman" w:cs="Times New Roman"/>
                      <w:color w:val="000000" w:themeColor="text1"/>
                    </w:rPr>
                  </w:pPr>
                  <w:r>
                    <w:rPr>
                      <w:rFonts w:ascii="Times New Roman" w:hAnsi="Times New Roman" w:cs="Times New Roman"/>
                      <w:color w:val="000000" w:themeColor="text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749" w:type="dxa"/>
                  <w:vMerge w:val="restart"/>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危险废物</w:t>
                  </w:r>
                </w:p>
              </w:tc>
              <w:tc>
                <w:tcPr>
                  <w:tcW w:w="1278" w:type="dxa"/>
                  <w:tcBorders>
                    <w:tl2br w:val="nil"/>
                    <w:tr2bl w:val="nil"/>
                  </w:tcBorders>
                  <w:vAlign w:val="center"/>
                </w:tcPr>
                <w:p>
                  <w:pPr>
                    <w:adjustRightInd w:val="0"/>
                    <w:snapToGrid w:val="0"/>
                    <w:spacing w:line="240" w:lineRule="auto"/>
                    <w:jc w:val="center"/>
                    <w:rPr>
                      <w:rFonts w:ascii="Times New Roman" w:hAnsi="Times New Roman" w:cs="Times New Roman"/>
                    </w:rPr>
                  </w:pPr>
                  <w:r>
                    <w:rPr>
                      <w:rFonts w:ascii="Times New Roman" w:hAnsi="Times New Roman" w:cs="Times New Roman"/>
                    </w:rPr>
                    <w:t>含油抹布</w:t>
                  </w:r>
                </w:p>
              </w:tc>
              <w:tc>
                <w:tcPr>
                  <w:tcW w:w="1132" w:type="dxa"/>
                  <w:tcBorders>
                    <w:tl2br w:val="nil"/>
                    <w:tr2bl w:val="nil"/>
                  </w:tcBorders>
                  <w:vAlign w:val="center"/>
                </w:tcPr>
                <w:p>
                  <w:pPr>
                    <w:pStyle w:val="8"/>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663"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0.05</w:t>
                  </w:r>
                </w:p>
              </w:tc>
              <w:tc>
                <w:tcPr>
                  <w:tcW w:w="1521"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szCs w:val="21"/>
                    </w:rPr>
                    <w:t>0.001t</w:t>
                  </w:r>
                </w:p>
              </w:tc>
              <w:tc>
                <w:tcPr>
                  <w:tcW w:w="1847" w:type="dxa"/>
                  <w:tcBorders>
                    <w:tl2br w:val="nil"/>
                    <w:tr2bl w:val="nil"/>
                  </w:tcBorders>
                  <w:vAlign w:val="center"/>
                </w:tcPr>
                <w:p>
                  <w:pPr>
                    <w:pStyle w:val="8"/>
                    <w:jc w:val="center"/>
                    <w:rPr>
                      <w:rFonts w:ascii="Times New Roman" w:hAnsi="Times New Roman" w:cs="Times New Roman"/>
                      <w:color w:val="000000" w:themeColor="text1"/>
                    </w:rPr>
                  </w:pPr>
                  <w:r>
                    <w:rPr>
                      <w:rFonts w:ascii="Times New Roman" w:hAnsi="Times New Roman" w:cs="Times New Roman"/>
                      <w:color w:val="000000" w:themeColor="text1"/>
                    </w:rPr>
                    <w:t>混入生活垃圾，环卫部门定期清理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49" w:type="dxa"/>
                  <w:vMerge w:val="continue"/>
                  <w:tcBorders>
                    <w:tl2br w:val="nil"/>
                    <w:tr2bl w:val="nil"/>
                  </w:tcBorders>
                  <w:vAlign w:val="center"/>
                </w:tcPr>
                <w:p>
                  <w:pPr>
                    <w:pStyle w:val="8"/>
                    <w:jc w:val="center"/>
                    <w:rPr>
                      <w:rFonts w:ascii="Times New Roman" w:hAnsi="Times New Roman" w:cs="Times New Roman"/>
                    </w:rPr>
                  </w:pPr>
                </w:p>
              </w:tc>
              <w:tc>
                <w:tcPr>
                  <w:tcW w:w="1278" w:type="dxa"/>
                  <w:tcBorders>
                    <w:tl2br w:val="nil"/>
                    <w:tr2bl w:val="nil"/>
                  </w:tcBorders>
                  <w:vAlign w:val="center"/>
                </w:tcPr>
                <w:p>
                  <w:pPr>
                    <w:adjustRightInd w:val="0"/>
                    <w:snapToGrid w:val="0"/>
                    <w:spacing w:line="240" w:lineRule="auto"/>
                    <w:jc w:val="center"/>
                    <w:rPr>
                      <w:rFonts w:ascii="Times New Roman" w:hAnsi="Times New Roman" w:cs="Times New Roman"/>
                    </w:rPr>
                  </w:pPr>
                  <w:r>
                    <w:rPr>
                      <w:rFonts w:ascii="Times New Roman" w:hAnsi="Times New Roman" w:cs="Times New Roman"/>
                    </w:rPr>
                    <w:t>废矿物油</w:t>
                  </w:r>
                </w:p>
              </w:tc>
              <w:tc>
                <w:tcPr>
                  <w:tcW w:w="1132"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HW08</w:t>
                  </w:r>
                </w:p>
              </w:tc>
              <w:tc>
                <w:tcPr>
                  <w:tcW w:w="1663"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4320L/a</w:t>
                  </w:r>
                </w:p>
              </w:tc>
              <w:tc>
                <w:tcPr>
                  <w:tcW w:w="1521"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szCs w:val="21"/>
                    </w:rPr>
                    <w:t>200L</w:t>
                  </w:r>
                </w:p>
              </w:tc>
              <w:tc>
                <w:tcPr>
                  <w:tcW w:w="1847" w:type="dxa"/>
                  <w:tcBorders>
                    <w:tl2br w:val="nil"/>
                    <w:tr2bl w:val="nil"/>
                  </w:tcBorders>
                  <w:vAlign w:val="center"/>
                </w:tcPr>
                <w:p>
                  <w:pPr>
                    <w:pStyle w:val="8"/>
                    <w:jc w:val="center"/>
                    <w:rPr>
                      <w:rFonts w:ascii="Times New Roman" w:hAnsi="Times New Roman" w:cs="Times New Roman"/>
                      <w:color w:val="000000" w:themeColor="text1"/>
                    </w:rPr>
                  </w:pPr>
                  <w:r>
                    <w:rPr>
                      <w:rFonts w:ascii="Times New Roman" w:hAnsi="Times New Roman" w:cs="Times New Roman"/>
                      <w:color w:val="000000" w:themeColor="text1"/>
                    </w:rPr>
                    <w:t>交由湖北海川环保科技有限公司处理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749" w:type="dxa"/>
                  <w:vMerge w:val="continue"/>
                  <w:tcBorders>
                    <w:tl2br w:val="nil"/>
                    <w:tr2bl w:val="nil"/>
                  </w:tcBorders>
                  <w:vAlign w:val="center"/>
                </w:tcPr>
                <w:p>
                  <w:pPr>
                    <w:pStyle w:val="8"/>
                    <w:jc w:val="center"/>
                    <w:rPr>
                      <w:rFonts w:ascii="Times New Roman" w:hAnsi="Times New Roman" w:cs="Times New Roman"/>
                    </w:rPr>
                  </w:pPr>
                </w:p>
              </w:tc>
              <w:tc>
                <w:tcPr>
                  <w:tcW w:w="1278" w:type="dxa"/>
                  <w:tcBorders>
                    <w:tl2br w:val="nil"/>
                    <w:tr2bl w:val="nil"/>
                  </w:tcBorders>
                  <w:vAlign w:val="center"/>
                </w:tcPr>
                <w:p>
                  <w:pPr>
                    <w:adjustRightInd w:val="0"/>
                    <w:snapToGrid w:val="0"/>
                    <w:spacing w:line="240" w:lineRule="auto"/>
                    <w:jc w:val="center"/>
                    <w:rPr>
                      <w:rFonts w:ascii="Times New Roman" w:hAnsi="Times New Roman" w:cs="Times New Roman"/>
                    </w:rPr>
                  </w:pPr>
                  <w:r>
                    <w:rPr>
                      <w:rFonts w:ascii="Times New Roman" w:hAnsi="Times New Roman" w:cs="Times New Roman"/>
                    </w:rPr>
                    <w:t>废活性炭</w:t>
                  </w:r>
                </w:p>
                <w:p>
                  <w:pPr>
                    <w:adjustRightInd w:val="0"/>
                    <w:snapToGrid w:val="0"/>
                    <w:spacing w:line="240" w:lineRule="auto"/>
                    <w:jc w:val="center"/>
                    <w:rPr>
                      <w:rFonts w:ascii="Times New Roman" w:hAnsi="Times New Roman" w:cs="Times New Roman"/>
                    </w:rPr>
                  </w:pPr>
                  <w:r>
                    <w:rPr>
                      <w:rFonts w:ascii="Times New Roman" w:hAnsi="Times New Roman" w:cs="Times New Roman"/>
                    </w:rPr>
                    <w:t>和废过滤棉</w:t>
                  </w:r>
                </w:p>
              </w:tc>
              <w:tc>
                <w:tcPr>
                  <w:tcW w:w="1132"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HW49</w:t>
                  </w:r>
                </w:p>
              </w:tc>
              <w:tc>
                <w:tcPr>
                  <w:tcW w:w="1663"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0.37</w:t>
                  </w:r>
                </w:p>
              </w:tc>
              <w:tc>
                <w:tcPr>
                  <w:tcW w:w="1521"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szCs w:val="21"/>
                    </w:rPr>
                    <w:t>0.003t</w:t>
                  </w:r>
                </w:p>
              </w:tc>
              <w:tc>
                <w:tcPr>
                  <w:tcW w:w="1847" w:type="dxa"/>
                  <w:vMerge w:val="restart"/>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暂存于危废暂存间，后期拟交由有危废处理资质的单位处置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749" w:type="dxa"/>
                  <w:vMerge w:val="continue"/>
                  <w:tcBorders>
                    <w:tl2br w:val="nil"/>
                    <w:tr2bl w:val="nil"/>
                  </w:tcBorders>
                  <w:vAlign w:val="center"/>
                </w:tcPr>
                <w:p>
                  <w:pPr>
                    <w:pStyle w:val="8"/>
                    <w:jc w:val="center"/>
                    <w:rPr>
                      <w:rFonts w:ascii="Times New Roman" w:hAnsi="Times New Roman" w:cs="Times New Roman"/>
                    </w:rPr>
                  </w:pPr>
                </w:p>
              </w:tc>
              <w:tc>
                <w:tcPr>
                  <w:tcW w:w="1278" w:type="dxa"/>
                  <w:tcBorders>
                    <w:tl2br w:val="nil"/>
                    <w:tr2bl w:val="nil"/>
                  </w:tcBorders>
                  <w:vAlign w:val="center"/>
                </w:tcPr>
                <w:p>
                  <w:pPr>
                    <w:adjustRightInd w:val="0"/>
                    <w:snapToGrid w:val="0"/>
                    <w:spacing w:line="240" w:lineRule="auto"/>
                    <w:jc w:val="center"/>
                    <w:rPr>
                      <w:rFonts w:ascii="Times New Roman" w:hAnsi="Times New Roman" w:cs="Times New Roman"/>
                    </w:rPr>
                  </w:pPr>
                  <w:r>
                    <w:rPr>
                      <w:rFonts w:ascii="Times New Roman" w:hAnsi="Times New Roman" w:cs="Times New Roman"/>
                    </w:rPr>
                    <w:t>废油漆桶</w:t>
                  </w:r>
                </w:p>
              </w:tc>
              <w:tc>
                <w:tcPr>
                  <w:tcW w:w="1132"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HW49</w:t>
                  </w:r>
                </w:p>
              </w:tc>
              <w:tc>
                <w:tcPr>
                  <w:tcW w:w="1663"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0.1</w:t>
                  </w:r>
                </w:p>
              </w:tc>
              <w:tc>
                <w:tcPr>
                  <w:tcW w:w="1521"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1847" w:type="dxa"/>
                  <w:vMerge w:val="continue"/>
                  <w:tcBorders>
                    <w:tl2br w:val="nil"/>
                    <w:tr2bl w:val="nil"/>
                  </w:tcBorders>
                  <w:vAlign w:val="center"/>
                </w:tcPr>
                <w:p>
                  <w:pPr>
                    <w:pStyle w:val="8"/>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49" w:type="dxa"/>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生活垃圾</w:t>
                  </w:r>
                </w:p>
              </w:tc>
              <w:tc>
                <w:tcPr>
                  <w:tcW w:w="1278" w:type="dxa"/>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生活垃圾</w:t>
                  </w:r>
                </w:p>
              </w:tc>
              <w:tc>
                <w:tcPr>
                  <w:tcW w:w="1132" w:type="dxa"/>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生活垃圾</w:t>
                  </w:r>
                </w:p>
              </w:tc>
              <w:tc>
                <w:tcPr>
                  <w:tcW w:w="1663" w:type="dxa"/>
                  <w:tcBorders>
                    <w:tl2br w:val="nil"/>
                    <w:tr2bl w:val="nil"/>
                  </w:tcBorders>
                  <w:vAlign w:val="center"/>
                </w:tcPr>
                <w:p>
                  <w:pPr>
                    <w:pStyle w:val="8"/>
                    <w:jc w:val="center"/>
                    <w:rPr>
                      <w:rFonts w:ascii="Times New Roman" w:hAnsi="Times New Roman" w:cs="Times New Roman"/>
                      <w:color w:val="000000" w:themeColor="text1"/>
                    </w:rPr>
                  </w:pPr>
                  <w:r>
                    <w:rPr>
                      <w:rFonts w:ascii="Times New Roman" w:hAnsi="Times New Roman" w:cs="Times New Roman"/>
                      <w:color w:val="000000" w:themeColor="text1"/>
                    </w:rPr>
                    <w:t>4.5</w:t>
                  </w:r>
                </w:p>
              </w:tc>
              <w:tc>
                <w:tcPr>
                  <w:tcW w:w="1521" w:type="dxa"/>
                  <w:tcBorders>
                    <w:tl2br w:val="nil"/>
                    <w:tr2bl w:val="nil"/>
                  </w:tcBorders>
                  <w:vAlign w:val="center"/>
                </w:tcPr>
                <w:p>
                  <w:pPr>
                    <w:adjustRightInd w:val="0"/>
                    <w:snapToGrid w:val="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0.1</w:t>
                  </w:r>
                </w:p>
              </w:tc>
              <w:tc>
                <w:tcPr>
                  <w:tcW w:w="1847" w:type="dxa"/>
                  <w:tcBorders>
                    <w:tl2br w:val="nil"/>
                    <w:tr2bl w:val="nil"/>
                  </w:tcBorders>
                  <w:vAlign w:val="center"/>
                </w:tcPr>
                <w:p>
                  <w:pPr>
                    <w:pStyle w:val="8"/>
                    <w:jc w:val="center"/>
                    <w:rPr>
                      <w:rFonts w:ascii="Times New Roman" w:hAnsi="Times New Roman" w:cs="Times New Roman"/>
                      <w:color w:val="000000" w:themeColor="text1"/>
                    </w:rPr>
                  </w:pPr>
                  <w:r>
                    <w:rPr>
                      <w:rFonts w:ascii="Times New Roman" w:hAnsi="Times New Roman" w:cs="Times New Roman"/>
                      <w:color w:val="000000" w:themeColor="text1"/>
                    </w:rPr>
                    <w:t>环卫定期清运</w:t>
                  </w:r>
                </w:p>
              </w:tc>
            </w:tr>
          </w:tbl>
          <w:p>
            <w:pPr>
              <w:pStyle w:val="8"/>
              <w:rPr>
                <w:rFonts w:ascii="Times New Roman" w:hAnsi="Times New Roman" w:cs="Times New Roman"/>
              </w:rPr>
            </w:pPr>
          </w:p>
        </w:tc>
      </w:tr>
    </w:tbl>
    <w:p>
      <w:pPr>
        <w:pStyle w:val="8"/>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jc w:val="center"/>
        <w:outlineLvl w:val="0"/>
        <w:rPr>
          <w:rFonts w:hint="default" w:ascii="Times New Roman" w:hAnsi="Times New Roman" w:cs="Times New Roman"/>
          <w:b/>
          <w:bCs/>
          <w:sz w:val="28"/>
          <w:szCs w:val="28"/>
        </w:rPr>
      </w:pPr>
      <w:bookmarkStart w:id="9" w:name="_Toc25677"/>
      <w:r>
        <w:rPr>
          <w:rFonts w:hint="default" w:ascii="Times New Roman" w:hAnsi="Times New Roman" w:cs="Times New Roman"/>
          <w:b/>
          <w:bCs/>
          <w:sz w:val="28"/>
          <w:szCs w:val="28"/>
        </w:rPr>
        <w:t xml:space="preserve">表五 </w:t>
      </w:r>
      <w:bookmarkEnd w:id="9"/>
      <w:r>
        <w:rPr>
          <w:rFonts w:hint="default" w:ascii="Times New Roman" w:hAnsi="Times New Roman" w:cs="Times New Roman"/>
          <w:b/>
          <w:bCs/>
          <w:sz w:val="28"/>
          <w:szCs w:val="28"/>
        </w:rPr>
        <w:t>污染物及污染物治理设施</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2" w:hRule="atLeast"/>
        </w:trPr>
        <w:tc>
          <w:tcPr>
            <w:tcW w:w="8522" w:type="dxa"/>
          </w:tcPr>
          <w:p>
            <w:pPr>
              <w:spacing w:line="480" w:lineRule="exact"/>
              <w:jc w:val="left"/>
              <w:rPr>
                <w:rFonts w:ascii="Times New Roman" w:hAnsi="Times New Roman" w:cs="Times New Roman"/>
                <w:b/>
                <w:bCs/>
                <w:sz w:val="28"/>
                <w:szCs w:val="28"/>
              </w:rPr>
            </w:pPr>
            <w:r>
              <w:rPr>
                <w:rFonts w:ascii="Times New Roman" w:hAnsi="Times New Roman" w:cs="Times New Roman"/>
                <w:b/>
                <w:bCs/>
                <w:sz w:val="28"/>
                <w:szCs w:val="28"/>
              </w:rPr>
              <w:t>5.1、主要污染物排放情况</w:t>
            </w:r>
          </w:p>
          <w:p>
            <w:pPr>
              <w:spacing w:line="480" w:lineRule="exact"/>
              <w:jc w:val="left"/>
              <w:rPr>
                <w:rFonts w:ascii="Times New Roman" w:hAnsi="Times New Roman" w:cs="Times New Roman"/>
                <w:b/>
                <w:bCs/>
                <w:sz w:val="24"/>
              </w:rPr>
            </w:pPr>
            <w:r>
              <w:rPr>
                <w:rFonts w:ascii="Times New Roman" w:hAnsi="Times New Roman" w:cs="Times New Roman"/>
                <w:b/>
                <w:bCs/>
                <w:sz w:val="24"/>
              </w:rPr>
              <w:t>5.1.1、废水</w:t>
            </w:r>
          </w:p>
          <w:p>
            <w:pPr>
              <w:pStyle w:val="2"/>
              <w:spacing w:line="360" w:lineRule="auto"/>
              <w:ind w:firstLine="465"/>
              <w:rPr>
                <w:rFonts w:hint="default" w:ascii="Times New Roman" w:hAnsi="Times New Roman" w:cs="Times New Roman"/>
                <w:kern w:val="2"/>
                <w:szCs w:val="24"/>
                <w:highlight w:val="red"/>
              </w:rPr>
            </w:pPr>
            <w:r>
              <w:rPr>
                <w:rFonts w:hint="default" w:ascii="Times New Roman" w:hAnsi="Times New Roman" w:cs="Times New Roman"/>
                <w:kern w:val="2"/>
                <w:szCs w:val="24"/>
              </w:rPr>
              <w:t>项目废水主要为生活污水、洗车废水和车间清洁废水。</w:t>
            </w:r>
            <w:bookmarkStart w:id="10" w:name="OLE_LINK2"/>
            <w:r>
              <w:rPr>
                <w:rFonts w:hint="default" w:ascii="Times New Roman" w:hAnsi="Times New Roman" w:cs="Times New Roman"/>
                <w:kern w:val="2"/>
                <w:szCs w:val="24"/>
              </w:rPr>
              <w:t>项目车间清洗拖把废水用桶运至洗车房和洗车废水一起经三级沉淀池处理后</w:t>
            </w:r>
            <w:r>
              <w:rPr>
                <w:rFonts w:hint="default" w:ascii="Times New Roman" w:hAnsi="Times New Roman" w:cs="Times New Roman"/>
                <w:szCs w:val="24"/>
              </w:rPr>
              <w:t>与生活污水一起经化粪池处理</w:t>
            </w:r>
            <w:r>
              <w:rPr>
                <w:rFonts w:ascii="Times New Roman" w:hAnsi="Times New Roman" w:cs="Times New Roman"/>
                <w:szCs w:val="24"/>
              </w:rPr>
              <w:t>，处理之后排入市政污水管网，再进入咸安经济开发区污水处理厂处理。</w:t>
            </w:r>
            <w:bookmarkEnd w:id="10"/>
          </w:p>
          <w:p>
            <w:pPr>
              <w:spacing w:line="480" w:lineRule="exact"/>
              <w:jc w:val="left"/>
              <w:rPr>
                <w:rFonts w:ascii="Times New Roman" w:hAnsi="Times New Roman" w:cs="Times New Roman"/>
                <w:b/>
                <w:bCs/>
                <w:sz w:val="24"/>
              </w:rPr>
            </w:pPr>
            <w:r>
              <w:rPr>
                <w:rFonts w:ascii="Times New Roman" w:hAnsi="Times New Roman" w:cs="Times New Roman"/>
                <w:b/>
                <w:bCs/>
                <w:sz w:val="24"/>
              </w:rPr>
              <w:t>5.1.2、废气</w:t>
            </w:r>
          </w:p>
          <w:p>
            <w:pPr>
              <w:pStyle w:val="2"/>
              <w:spacing w:line="360" w:lineRule="auto"/>
              <w:ind w:firstLine="465"/>
              <w:rPr>
                <w:rFonts w:hint="default" w:ascii="Times New Roman" w:hAnsi="Times New Roman" w:cs="Times New Roman"/>
                <w:kern w:val="2"/>
                <w:szCs w:val="24"/>
              </w:rPr>
            </w:pPr>
            <w:r>
              <w:rPr>
                <w:rFonts w:hint="default" w:ascii="Times New Roman" w:hAnsi="Times New Roman" w:cs="Times New Roman"/>
                <w:kern w:val="2"/>
                <w:szCs w:val="24"/>
              </w:rPr>
              <w:t>项目运营期主要大气污染物有喷（烤）漆工段产生的油漆废气以及</w:t>
            </w:r>
            <w:r>
              <w:rPr>
                <w:rFonts w:hint="default" w:ascii="Times New Roman" w:hAnsi="Times New Roman" w:cs="Times New Roman"/>
                <w:color w:val="auto"/>
              </w:rPr>
              <w:t>焊接烟尘</w:t>
            </w:r>
            <w:r>
              <w:rPr>
                <w:rFonts w:hint="default" w:ascii="Times New Roman" w:hAnsi="Times New Roman" w:cs="Times New Roman"/>
                <w:kern w:val="2"/>
                <w:szCs w:val="24"/>
              </w:rPr>
              <w:t>。</w:t>
            </w:r>
          </w:p>
          <w:p>
            <w:pPr>
              <w:pStyle w:val="2"/>
              <w:spacing w:line="360" w:lineRule="auto"/>
              <w:ind w:firstLine="465"/>
              <w:rPr>
                <w:rFonts w:hint="default" w:ascii="Times New Roman" w:hAnsi="Times New Roman" w:cs="Times New Roman"/>
                <w:kern w:val="2"/>
                <w:szCs w:val="24"/>
              </w:rPr>
            </w:pPr>
            <w:r>
              <w:rPr>
                <w:rFonts w:hint="default" w:ascii="Times New Roman" w:hAnsi="Times New Roman" w:cs="Times New Roman"/>
                <w:kern w:val="2"/>
                <w:szCs w:val="24"/>
              </w:rPr>
              <w:t>（1）有组织排放</w:t>
            </w:r>
          </w:p>
          <w:p>
            <w:pPr>
              <w:pStyle w:val="2"/>
              <w:spacing w:line="360" w:lineRule="auto"/>
              <w:ind w:firstLine="465"/>
              <w:rPr>
                <w:rFonts w:hint="default" w:ascii="Times New Roman" w:hAnsi="Times New Roman" w:cs="Times New Roman"/>
                <w:kern w:val="2"/>
                <w:szCs w:val="24"/>
              </w:rPr>
            </w:pPr>
            <w:r>
              <w:rPr>
                <w:rFonts w:hint="default" w:ascii="Times New Roman" w:hAnsi="Times New Roman" w:cs="Times New Roman"/>
                <w:kern w:val="2"/>
                <w:szCs w:val="24"/>
              </w:rPr>
              <w:t>本项目营运期产生的废气主要是喷漆工段产生的油漆废气；油漆废气经过滤棉过滤+活性炭吸附处理之后</w:t>
            </w:r>
            <w:r>
              <w:rPr>
                <w:rFonts w:hint="default" w:ascii="Times New Roman" w:hAnsi="Times New Roman" w:cs="Times New Roman"/>
                <w:color w:val="000000" w:themeColor="text1"/>
                <w:kern w:val="2"/>
                <w:szCs w:val="24"/>
              </w:rPr>
              <w:t>，通过10m高排气筒排放</w:t>
            </w:r>
            <w:r>
              <w:rPr>
                <w:rFonts w:hint="default" w:ascii="Times New Roman" w:hAnsi="Times New Roman" w:cs="Times New Roman"/>
                <w:kern w:val="2"/>
                <w:szCs w:val="24"/>
              </w:rPr>
              <w:t>。</w:t>
            </w:r>
          </w:p>
          <w:p>
            <w:pPr>
              <w:pStyle w:val="2"/>
              <w:numPr>
                <w:ilvl w:val="0"/>
                <w:numId w:val="1"/>
              </w:numPr>
              <w:spacing w:line="360" w:lineRule="auto"/>
              <w:ind w:firstLine="465"/>
              <w:rPr>
                <w:rFonts w:hint="default" w:ascii="Times New Roman" w:hAnsi="Times New Roman" w:cs="Times New Roman"/>
                <w:kern w:val="2"/>
                <w:szCs w:val="24"/>
              </w:rPr>
            </w:pPr>
            <w:r>
              <w:rPr>
                <w:rFonts w:hint="default" w:ascii="Times New Roman" w:hAnsi="Times New Roman" w:cs="Times New Roman"/>
                <w:kern w:val="2"/>
                <w:szCs w:val="24"/>
              </w:rPr>
              <w:t>无组织排放</w:t>
            </w:r>
          </w:p>
          <w:p>
            <w:pPr>
              <w:pStyle w:val="2"/>
              <w:spacing w:line="360" w:lineRule="auto"/>
              <w:ind w:left="465"/>
              <w:rPr>
                <w:rFonts w:hint="default" w:ascii="Times New Roman" w:hAnsi="Times New Roman" w:cs="Times New Roman"/>
                <w:kern w:val="2"/>
                <w:szCs w:val="24"/>
              </w:rPr>
            </w:pPr>
            <w:r>
              <w:rPr>
                <w:rFonts w:hint="default" w:ascii="Times New Roman" w:hAnsi="Times New Roman" w:cs="Times New Roman"/>
                <w:kern w:val="2"/>
                <w:szCs w:val="24"/>
              </w:rPr>
              <w:t>无组织排放的废气主要是焊接烟尘、打磨粉尘，部分产品维修过程中要进行</w:t>
            </w:r>
          </w:p>
          <w:p>
            <w:pPr>
              <w:pStyle w:val="2"/>
              <w:spacing w:line="360" w:lineRule="auto"/>
              <w:rPr>
                <w:rFonts w:hint="default" w:ascii="Times New Roman" w:hAnsi="Times New Roman" w:cs="Times New Roman"/>
                <w:kern w:val="2"/>
                <w:szCs w:val="24"/>
              </w:rPr>
            </w:pPr>
            <w:r>
              <w:rPr>
                <w:rFonts w:hint="default" w:ascii="Times New Roman" w:hAnsi="Times New Roman" w:cs="Times New Roman"/>
                <w:kern w:val="2"/>
                <w:szCs w:val="24"/>
              </w:rPr>
              <w:t>焊接，焊接会产生焊接烟尘；汽车补漆之前需要进行打磨修整，此过程中会产生</w:t>
            </w:r>
            <w:r>
              <w:rPr>
                <w:rFonts w:hint="default" w:ascii="Times New Roman" w:hAnsi="Times New Roman" w:cs="Times New Roman"/>
                <w:color w:val="auto"/>
              </w:rPr>
              <w:t>打磨粉尘</w:t>
            </w:r>
            <w:r>
              <w:rPr>
                <w:rFonts w:hint="default" w:ascii="Times New Roman" w:hAnsi="Times New Roman" w:cs="Times New Roman"/>
                <w:kern w:val="2"/>
                <w:szCs w:val="24"/>
              </w:rPr>
              <w:t>。本项目通过加强车间通风等措施减少焊接烟尘和打磨粉尘对周围环境的影响。</w:t>
            </w:r>
          </w:p>
          <w:p>
            <w:pPr>
              <w:spacing w:line="480" w:lineRule="exact"/>
              <w:jc w:val="left"/>
              <w:rPr>
                <w:rFonts w:ascii="Times New Roman" w:hAnsi="Times New Roman" w:cs="Times New Roman"/>
                <w:b/>
                <w:bCs/>
                <w:sz w:val="24"/>
              </w:rPr>
            </w:pPr>
            <w:r>
              <w:rPr>
                <w:rFonts w:ascii="Times New Roman" w:hAnsi="Times New Roman" w:cs="Times New Roman"/>
                <w:b/>
                <w:bCs/>
                <w:sz w:val="24"/>
              </w:rPr>
              <w:t>5.1.3、噪声</w:t>
            </w:r>
          </w:p>
          <w:p>
            <w:pPr>
              <w:pStyle w:val="2"/>
              <w:spacing w:line="360" w:lineRule="auto"/>
              <w:ind w:firstLine="480" w:firstLineChars="200"/>
              <w:rPr>
                <w:rFonts w:hint="default" w:ascii="Times New Roman" w:hAnsi="Times New Roman" w:cs="Times New Roman"/>
                <w:kern w:val="2"/>
                <w:szCs w:val="24"/>
              </w:rPr>
            </w:pPr>
            <w:r>
              <w:rPr>
                <w:rFonts w:hint="default" w:ascii="Times New Roman" w:hAnsi="Times New Roman" w:cs="Times New Roman"/>
                <w:szCs w:val="24"/>
              </w:rPr>
              <w:t>项目噪声主要为机械设备噪声、汽车行驶噪声等，通过厂房隔声、设备减振等措施减小噪声对</w:t>
            </w:r>
            <w:r>
              <w:rPr>
                <w:rFonts w:hint="default" w:ascii="Times New Roman" w:hAnsi="Times New Roman" w:cs="Times New Roman"/>
                <w:kern w:val="2"/>
                <w:szCs w:val="24"/>
              </w:rPr>
              <w:t>周围环境的影响。</w:t>
            </w:r>
          </w:p>
          <w:p>
            <w:pPr>
              <w:spacing w:line="480" w:lineRule="exact"/>
              <w:jc w:val="left"/>
              <w:rPr>
                <w:rFonts w:ascii="Times New Roman" w:hAnsi="Times New Roman" w:cs="Times New Roman"/>
                <w:b/>
                <w:bCs/>
                <w:sz w:val="24"/>
              </w:rPr>
            </w:pPr>
            <w:r>
              <w:rPr>
                <w:rFonts w:ascii="Times New Roman" w:hAnsi="Times New Roman" w:cs="Times New Roman"/>
                <w:b/>
                <w:bCs/>
                <w:sz w:val="24"/>
              </w:rPr>
              <w:t>5.1.4、固体废物</w:t>
            </w:r>
          </w:p>
          <w:p>
            <w:pPr>
              <w:tabs>
                <w:tab w:val="left" w:pos="1680"/>
                <w:tab w:val="left" w:pos="8607"/>
              </w:tabs>
              <w:ind w:firstLine="480" w:firstLineChars="200"/>
              <w:jc w:val="left"/>
              <w:rPr>
                <w:rFonts w:ascii="Times New Roman" w:hAnsi="Times New Roman" w:cs="Times New Roman"/>
              </w:rPr>
            </w:pPr>
            <w:r>
              <w:rPr>
                <w:rFonts w:ascii="Times New Roman" w:hAnsi="Times New Roman" w:cs="Times New Roman"/>
                <w:sz w:val="24"/>
              </w:rPr>
              <w:t>本项目固体废物主要为汽车修理过程中产生一般固废和危险固废以及员工办公产生的生活垃圾。一般固废主要有汽车维修过程中产生的废旧零部件，废旧零部件外售于废品回收公司；危险固废主要包括废矿物油、废活性炭、废过滤棉、废油漆桶。废矿物油</w:t>
            </w:r>
            <w:r>
              <w:rPr>
                <w:rFonts w:ascii="Times New Roman" w:hAnsi="Times New Roman" w:cs="Times New Roman"/>
                <w:color w:val="000000" w:themeColor="text1"/>
                <w:sz w:val="24"/>
              </w:rPr>
              <w:t>委</w:t>
            </w:r>
            <w:r>
              <w:rPr>
                <w:rFonts w:ascii="Times New Roman" w:hAnsi="Times New Roman" w:cs="Times New Roman"/>
                <w:sz w:val="24"/>
              </w:rPr>
              <w:t>托咸宁海川环保科技有限公司进行回收处理；活性炭、过滤棉每半年更换一次，</w:t>
            </w:r>
            <w:r>
              <w:rPr>
                <w:rFonts w:ascii="Times New Roman" w:hAnsi="Times New Roman" w:cs="Times New Roman"/>
                <w:color w:val="000000" w:themeColor="text1"/>
                <w:sz w:val="24"/>
              </w:rPr>
              <w:t>更换的废活性炭、废过滤棉与废油漆桶</w:t>
            </w:r>
            <w:r>
              <w:rPr>
                <w:rFonts w:ascii="Times New Roman" w:hAnsi="Times New Roman" w:cs="Times New Roman"/>
                <w:sz w:val="24"/>
              </w:rPr>
              <w:t>、</w:t>
            </w:r>
            <w:r>
              <w:rPr>
                <w:rFonts w:ascii="Times New Roman" w:hAnsi="Times New Roman" w:cs="Times New Roman"/>
                <w:color w:val="000000" w:themeColor="text1"/>
                <w:sz w:val="24"/>
              </w:rPr>
              <w:t>暂存于危废暂存间，后期拟委托有危废处理资质的单位处理；</w:t>
            </w:r>
            <w:r>
              <w:rPr>
                <w:rFonts w:ascii="Times New Roman" w:hAnsi="Times New Roman" w:cs="Times New Roman"/>
                <w:sz w:val="24"/>
              </w:rPr>
              <w:t>生活垃圾、含油抹布委托环卫部门统一清运处理。</w:t>
            </w:r>
          </w:p>
          <w:p>
            <w:pPr>
              <w:spacing w:line="480" w:lineRule="exact"/>
              <w:jc w:val="left"/>
              <w:rPr>
                <w:rFonts w:ascii="Times New Roman" w:hAnsi="Times New Roman" w:cs="Times New Roman"/>
                <w:b/>
                <w:bCs/>
                <w:sz w:val="28"/>
                <w:szCs w:val="28"/>
              </w:rPr>
            </w:pPr>
            <w:r>
              <w:rPr>
                <w:rFonts w:ascii="Times New Roman" w:hAnsi="Times New Roman" w:cs="Times New Roman"/>
                <w:b/>
                <w:bCs/>
                <w:sz w:val="28"/>
                <w:szCs w:val="28"/>
              </w:rPr>
              <w:t>5.2、污染物及污染物治理设施</w:t>
            </w:r>
          </w:p>
          <w:tbl>
            <w:tblPr>
              <w:tblStyle w:val="17"/>
              <w:tblW w:w="81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37"/>
              <w:gridCol w:w="1088"/>
              <w:gridCol w:w="2225"/>
              <w:gridCol w:w="1900"/>
              <w:gridCol w:w="1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tcBorders>
                    <w:tl2br w:val="nil"/>
                    <w:tr2bl w:val="nil"/>
                  </w:tcBorders>
                  <w:vAlign w:val="center"/>
                </w:tcPr>
                <w:p>
                  <w:pPr>
                    <w:pStyle w:val="2"/>
                    <w:spacing w:line="360" w:lineRule="auto"/>
                    <w:jc w:val="center"/>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类别</w:t>
                  </w:r>
                </w:p>
              </w:tc>
              <w:tc>
                <w:tcPr>
                  <w:tcW w:w="1137" w:type="dxa"/>
                  <w:tcBorders>
                    <w:tl2br w:val="nil"/>
                    <w:tr2bl w:val="nil"/>
                  </w:tcBorders>
                  <w:vAlign w:val="center"/>
                </w:tcPr>
                <w:p>
                  <w:pPr>
                    <w:pStyle w:val="2"/>
                    <w:spacing w:line="360" w:lineRule="auto"/>
                    <w:jc w:val="center"/>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排放源</w:t>
                  </w:r>
                </w:p>
              </w:tc>
              <w:tc>
                <w:tcPr>
                  <w:tcW w:w="1088" w:type="dxa"/>
                  <w:tcBorders>
                    <w:tl2br w:val="nil"/>
                    <w:tr2bl w:val="nil"/>
                  </w:tcBorders>
                  <w:vAlign w:val="center"/>
                </w:tcPr>
                <w:p>
                  <w:pPr>
                    <w:pStyle w:val="2"/>
                    <w:spacing w:line="360" w:lineRule="auto"/>
                    <w:jc w:val="center"/>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污染物</w:t>
                  </w:r>
                </w:p>
              </w:tc>
              <w:tc>
                <w:tcPr>
                  <w:tcW w:w="2225" w:type="dxa"/>
                  <w:tcBorders>
                    <w:tl2br w:val="nil"/>
                    <w:tr2bl w:val="nil"/>
                  </w:tcBorders>
                  <w:vAlign w:val="center"/>
                </w:tcPr>
                <w:p>
                  <w:pPr>
                    <w:pStyle w:val="2"/>
                    <w:spacing w:line="360" w:lineRule="auto"/>
                    <w:jc w:val="center"/>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环评要求</w:t>
                  </w:r>
                </w:p>
              </w:tc>
              <w:tc>
                <w:tcPr>
                  <w:tcW w:w="1900" w:type="dxa"/>
                  <w:tcBorders>
                    <w:tl2br w:val="nil"/>
                    <w:tr2bl w:val="nil"/>
                  </w:tcBorders>
                  <w:vAlign w:val="center"/>
                </w:tcPr>
                <w:p>
                  <w:pPr>
                    <w:pStyle w:val="2"/>
                    <w:spacing w:line="360" w:lineRule="auto"/>
                    <w:jc w:val="center"/>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实际防治设施</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restart"/>
                  <w:tcBorders>
                    <w:tl2br w:val="nil"/>
                    <w:tr2bl w:val="nil"/>
                  </w:tcBorders>
                  <w:vAlign w:val="center"/>
                </w:tcPr>
                <w:p>
                  <w:pPr>
                    <w:pStyle w:val="2"/>
                    <w:spacing w:line="360" w:lineRule="auto"/>
                    <w:jc w:val="center"/>
                    <w:rPr>
                      <w:rFonts w:hint="default" w:ascii="Times New Roman" w:hAnsi="Times New Roman" w:cs="Times New Roman"/>
                      <w:b/>
                      <w:bCs/>
                      <w:kern w:val="2"/>
                      <w:szCs w:val="24"/>
                    </w:rPr>
                  </w:pPr>
                  <w:r>
                    <w:rPr>
                      <w:rFonts w:hint="default" w:ascii="Times New Roman" w:hAnsi="Times New Roman" w:cs="Times New Roman"/>
                      <w:kern w:val="2"/>
                      <w:sz w:val="21"/>
                      <w:szCs w:val="21"/>
                    </w:rPr>
                    <w:t>废气污染物</w:t>
                  </w:r>
                </w:p>
              </w:tc>
              <w:tc>
                <w:tcPr>
                  <w:tcW w:w="1137"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喷烤漆房</w:t>
                  </w: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油漆废气</w:t>
                  </w:r>
                </w:p>
              </w:tc>
              <w:tc>
                <w:tcPr>
                  <w:tcW w:w="2225"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过滤棉+活性炭吸附设备（风</w:t>
                  </w:r>
                  <w:r>
                    <w:rPr>
                      <w:rFonts w:hint="default" w:ascii="Times New Roman" w:hAnsi="Times New Roman" w:cs="Times New Roman"/>
                      <w:color w:val="000000" w:themeColor="text1"/>
                      <w:kern w:val="2"/>
                      <w:sz w:val="21"/>
                      <w:szCs w:val="21"/>
                    </w:rPr>
                    <w:t>量5000m</w:t>
                  </w:r>
                  <w:r>
                    <w:rPr>
                      <w:rFonts w:hint="default" w:ascii="Times New Roman" w:hAnsi="Times New Roman" w:cs="Times New Roman"/>
                      <w:color w:val="000000" w:themeColor="text1"/>
                      <w:kern w:val="2"/>
                      <w:sz w:val="21"/>
                      <w:szCs w:val="21"/>
                      <w:vertAlign w:val="superscript"/>
                    </w:rPr>
                    <w:t>3</w:t>
                  </w:r>
                  <w:r>
                    <w:rPr>
                      <w:rFonts w:hint="default" w:ascii="Times New Roman" w:hAnsi="Times New Roman" w:cs="Times New Roman"/>
                      <w:color w:val="000000" w:themeColor="text1"/>
                      <w:kern w:val="2"/>
                      <w:sz w:val="21"/>
                      <w:szCs w:val="21"/>
                    </w:rPr>
                    <w:t>/h，</w:t>
                  </w:r>
                  <w:r>
                    <w:rPr>
                      <w:rFonts w:hint="default" w:ascii="Times New Roman" w:hAnsi="Times New Roman" w:cs="Times New Roman"/>
                      <w:kern w:val="2"/>
                      <w:sz w:val="21"/>
                      <w:szCs w:val="21"/>
                    </w:rPr>
                    <w:t>效率高于90%）+15m高排气筒</w:t>
                  </w:r>
                </w:p>
              </w:tc>
              <w:tc>
                <w:tcPr>
                  <w:tcW w:w="1900"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color w:val="auto"/>
                      <w:kern w:val="2"/>
                      <w:sz w:val="21"/>
                      <w:szCs w:val="21"/>
                    </w:rPr>
                    <w:t>过滤棉+活性炭吸附设备</w:t>
                  </w:r>
                  <w:r>
                    <w:rPr>
                      <w:rFonts w:hint="default" w:ascii="Times New Roman" w:hAnsi="Times New Roman" w:cs="Times New Roman" w:eastAsiaTheme="minorEastAsia"/>
                      <w:color w:val="auto"/>
                      <w:kern w:val="2"/>
                      <w:sz w:val="21"/>
                      <w:szCs w:val="21"/>
                    </w:rPr>
                    <w:t>+10m高排气筒</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排气筒高度为10m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p>
              </w:tc>
              <w:tc>
                <w:tcPr>
                  <w:tcW w:w="1137"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维修车间</w:t>
                  </w: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焊接烟尘</w:t>
                  </w:r>
                </w:p>
              </w:tc>
              <w:tc>
                <w:tcPr>
                  <w:tcW w:w="2225"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安装排风扇，加强通风</w:t>
                  </w:r>
                </w:p>
              </w:tc>
              <w:tc>
                <w:tcPr>
                  <w:tcW w:w="1900"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安装排风扇，加强通风</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restart"/>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水污染物</w:t>
                  </w:r>
                </w:p>
              </w:tc>
              <w:tc>
                <w:tcPr>
                  <w:tcW w:w="1137"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生活污水（含食堂废水）</w:t>
                  </w: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COD、BOD</w:t>
                  </w:r>
                  <w:r>
                    <w:rPr>
                      <w:rFonts w:hint="default" w:ascii="Times New Roman" w:hAnsi="Times New Roman" w:cs="Times New Roman"/>
                      <w:kern w:val="2"/>
                      <w:sz w:val="21"/>
                      <w:szCs w:val="21"/>
                      <w:vertAlign w:val="subscript"/>
                    </w:rPr>
                    <w:t>5</w:t>
                  </w:r>
                  <w:r>
                    <w:rPr>
                      <w:rFonts w:hint="default" w:ascii="Times New Roman" w:hAnsi="Times New Roman" w:cs="Times New Roman"/>
                      <w:kern w:val="2"/>
                      <w:sz w:val="21"/>
                      <w:szCs w:val="21"/>
                    </w:rPr>
                    <w:t>、SS、NH3-N、动植物油</w:t>
                  </w:r>
                </w:p>
              </w:tc>
              <w:tc>
                <w:tcPr>
                  <w:tcW w:w="2225" w:type="dxa"/>
                  <w:vMerge w:val="restart"/>
                  <w:tcBorders>
                    <w:tl2br w:val="nil"/>
                    <w:tr2bl w:val="nil"/>
                  </w:tcBorders>
                  <w:vAlign w:val="center"/>
                </w:tcPr>
                <w:p>
                  <w:pPr>
                    <w:widowControl/>
                    <w:jc w:val="left"/>
                    <w:rPr>
                      <w:rFonts w:ascii="Times New Roman" w:hAnsi="Times New Roman" w:cs="Times New Roman"/>
                      <w:szCs w:val="21"/>
                    </w:rPr>
                  </w:pPr>
                  <w:r>
                    <w:rPr>
                      <w:rFonts w:hint="eastAsia" w:ascii="宋体" w:hAnsi="宋体" w:cs="宋体"/>
                      <w:color w:val="000000"/>
                      <w:kern w:val="0"/>
                      <w:szCs w:val="21"/>
                    </w:rPr>
                    <w:t>洗车废水经隔油沉淀池处理后，与生活污水一起进入化粪池处理，再经市政污水管网进入咸安经济开发区污水处理厂进一步处理</w:t>
                  </w:r>
                </w:p>
              </w:tc>
              <w:tc>
                <w:tcPr>
                  <w:tcW w:w="1900" w:type="dxa"/>
                  <w:vMerge w:val="restart"/>
                  <w:tcBorders>
                    <w:tl2br w:val="nil"/>
                    <w:tr2bl w:val="nil"/>
                  </w:tcBorders>
                  <w:vAlign w:val="center"/>
                </w:tcPr>
                <w:p>
                  <w:pPr>
                    <w:pStyle w:val="2"/>
                    <w:spacing w:line="360" w:lineRule="auto"/>
                    <w:jc w:val="center"/>
                    <w:rPr>
                      <w:rFonts w:hint="default" w:ascii="Times New Roman" w:hAnsi="Times New Roman" w:cs="Times New Roman"/>
                      <w:b/>
                      <w:bCs/>
                      <w:kern w:val="2"/>
                      <w:sz w:val="21"/>
                      <w:szCs w:val="21"/>
                    </w:rPr>
                  </w:pPr>
                  <w:r>
                    <w:rPr>
                      <w:rFonts w:cs="宋体"/>
                      <w:sz w:val="21"/>
                      <w:szCs w:val="21"/>
                    </w:rPr>
                    <w:t>洗车废水经隔油沉淀池处理后，与生活污水一起进入化粪池处理，再经市政污水管网进入咸安经济开发区污水处理厂进一步处理</w:t>
                  </w:r>
                </w:p>
              </w:tc>
              <w:tc>
                <w:tcPr>
                  <w:tcW w:w="1162" w:type="dxa"/>
                  <w:vMerge w:val="restart"/>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vAlign w:val="center"/>
                </w:tcPr>
                <w:p>
                  <w:pPr>
                    <w:pStyle w:val="2"/>
                    <w:spacing w:line="360" w:lineRule="auto"/>
                    <w:jc w:val="center"/>
                    <w:rPr>
                      <w:rFonts w:hint="default" w:ascii="Times New Roman" w:hAnsi="Times New Roman" w:cs="Times New Roman"/>
                      <w:b/>
                      <w:bCs/>
                      <w:kern w:val="2"/>
                      <w:szCs w:val="24"/>
                    </w:rPr>
                  </w:pPr>
                </w:p>
              </w:tc>
              <w:tc>
                <w:tcPr>
                  <w:tcW w:w="1137"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洗车废水</w:t>
                  </w: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SS、石油类</w:t>
                  </w:r>
                </w:p>
              </w:tc>
              <w:tc>
                <w:tcPr>
                  <w:tcW w:w="2225" w:type="dxa"/>
                  <w:vMerge w:val="continue"/>
                  <w:tcBorders>
                    <w:tl2br w:val="nil"/>
                    <w:tr2bl w:val="nil"/>
                  </w:tcBorders>
                  <w:vAlign w:val="center"/>
                </w:tcPr>
                <w:p>
                  <w:pPr>
                    <w:widowControl/>
                    <w:ind w:left="420" w:hanging="420" w:hangingChars="200"/>
                    <w:jc w:val="left"/>
                    <w:rPr>
                      <w:rFonts w:ascii="Times New Roman" w:hAnsi="Times New Roman" w:cs="Times New Roman"/>
                      <w:szCs w:val="21"/>
                    </w:rPr>
                  </w:pPr>
                </w:p>
              </w:tc>
              <w:tc>
                <w:tcPr>
                  <w:tcW w:w="1900" w:type="dxa"/>
                  <w:vMerge w:val="continue"/>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p>
              </w:tc>
              <w:tc>
                <w:tcPr>
                  <w:tcW w:w="1162" w:type="dxa"/>
                  <w:vMerge w:val="continue"/>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restart"/>
                  <w:tcBorders>
                    <w:tl2br w:val="nil"/>
                    <w:tr2bl w:val="nil"/>
                  </w:tcBorders>
                  <w:vAlign w:val="center"/>
                </w:tcPr>
                <w:p>
                  <w:pPr>
                    <w:pStyle w:val="2"/>
                    <w:spacing w:line="360" w:lineRule="auto"/>
                    <w:jc w:val="center"/>
                    <w:rPr>
                      <w:rFonts w:hint="default" w:ascii="Times New Roman" w:hAnsi="Times New Roman" w:cs="Times New Roman"/>
                      <w:b/>
                      <w:bCs/>
                      <w:kern w:val="2"/>
                      <w:szCs w:val="24"/>
                    </w:rPr>
                  </w:pPr>
                  <w:r>
                    <w:rPr>
                      <w:rFonts w:hint="default" w:ascii="Times New Roman" w:hAnsi="Times New Roman" w:cs="Times New Roman"/>
                      <w:kern w:val="2"/>
                      <w:sz w:val="21"/>
                      <w:szCs w:val="21"/>
                    </w:rPr>
                    <w:t>固体废弃物</w:t>
                  </w:r>
                </w:p>
              </w:tc>
              <w:tc>
                <w:tcPr>
                  <w:tcW w:w="1137"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员工生活</w:t>
                  </w: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生活垃圾</w:t>
                  </w:r>
                </w:p>
              </w:tc>
              <w:tc>
                <w:tcPr>
                  <w:tcW w:w="2225"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环卫部门清运</w:t>
                  </w:r>
                </w:p>
              </w:tc>
              <w:tc>
                <w:tcPr>
                  <w:tcW w:w="1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环卫部门清运</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p>
              </w:tc>
              <w:tc>
                <w:tcPr>
                  <w:tcW w:w="1137" w:type="dxa"/>
                  <w:vMerge w:val="restart"/>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生产车间</w:t>
                  </w: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含油废抹布</w:t>
                  </w:r>
                </w:p>
              </w:tc>
              <w:tc>
                <w:tcPr>
                  <w:tcW w:w="2225"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环卫部门清运</w:t>
                  </w:r>
                </w:p>
              </w:tc>
              <w:tc>
                <w:tcPr>
                  <w:tcW w:w="190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环卫部门清运</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vAlign w:val="center"/>
                </w:tcPr>
                <w:p>
                  <w:pPr>
                    <w:pStyle w:val="2"/>
                    <w:spacing w:line="360" w:lineRule="auto"/>
                    <w:jc w:val="center"/>
                    <w:rPr>
                      <w:rFonts w:hint="default" w:ascii="Times New Roman" w:hAnsi="Times New Roman" w:cs="Times New Roman"/>
                      <w:b/>
                      <w:bCs/>
                      <w:kern w:val="2"/>
                      <w:szCs w:val="24"/>
                    </w:rPr>
                  </w:pPr>
                </w:p>
              </w:tc>
              <w:tc>
                <w:tcPr>
                  <w:tcW w:w="1137" w:type="dxa"/>
                  <w:vMerge w:val="continue"/>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废旧零件</w:t>
                  </w:r>
                </w:p>
              </w:tc>
              <w:tc>
                <w:tcPr>
                  <w:tcW w:w="2225"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回收综合利用</w:t>
                  </w:r>
                </w:p>
              </w:tc>
              <w:tc>
                <w:tcPr>
                  <w:tcW w:w="1900"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外售</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vAlign w:val="center"/>
                </w:tcPr>
                <w:p>
                  <w:pPr>
                    <w:pStyle w:val="2"/>
                    <w:spacing w:line="360" w:lineRule="auto"/>
                    <w:jc w:val="center"/>
                    <w:rPr>
                      <w:rFonts w:hint="default" w:ascii="Times New Roman" w:hAnsi="Times New Roman" w:cs="Times New Roman"/>
                      <w:b/>
                      <w:bCs/>
                      <w:kern w:val="2"/>
                      <w:szCs w:val="24"/>
                    </w:rPr>
                  </w:pPr>
                </w:p>
              </w:tc>
              <w:tc>
                <w:tcPr>
                  <w:tcW w:w="1137" w:type="dxa"/>
                  <w:vMerge w:val="continue"/>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废矿物油、废活性炭、废过滤棉</w:t>
                  </w:r>
                </w:p>
              </w:tc>
              <w:tc>
                <w:tcPr>
                  <w:tcW w:w="2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用容器分类收集存放在危废暂存间，做好</w:t>
                  </w:r>
                </w:p>
                <w:p>
                  <w:pPr>
                    <w:jc w:val="center"/>
                    <w:rPr>
                      <w:rFonts w:ascii="Times New Roman" w:hAnsi="Times New Roman" w:cs="Times New Roman"/>
                    </w:rPr>
                  </w:pPr>
                  <w:r>
                    <w:rPr>
                      <w:rFonts w:ascii="Times New Roman" w:hAnsi="Times New Roman" w:cs="Times New Roman"/>
                    </w:rPr>
                    <w:t>防渗、防腐、防雨、防风等工作，并定期</w:t>
                  </w:r>
                </w:p>
                <w:p>
                  <w:pPr>
                    <w:jc w:val="center"/>
                    <w:rPr>
                      <w:rFonts w:ascii="Times New Roman" w:hAnsi="Times New Roman" w:cs="Times New Roman"/>
                      <w:szCs w:val="21"/>
                    </w:rPr>
                  </w:pPr>
                  <w:r>
                    <w:rPr>
                      <w:rFonts w:ascii="Times New Roman" w:hAnsi="Times New Roman" w:cs="Times New Roman"/>
                    </w:rPr>
                    <w:t>交由有资质的单位进行处理</w:t>
                  </w:r>
                </w:p>
              </w:tc>
              <w:tc>
                <w:tcPr>
                  <w:tcW w:w="1900"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sz w:val="21"/>
                      <w:szCs w:val="21"/>
                    </w:rPr>
                    <w:t>废矿物油交</w:t>
                  </w:r>
                  <w:r>
                    <w:rPr>
                      <w:rFonts w:hint="default" w:ascii="Times New Roman" w:hAnsi="Times New Roman" w:cs="Times New Roman"/>
                      <w:color w:val="000000" w:themeColor="text1"/>
                      <w:sz w:val="21"/>
                      <w:szCs w:val="21"/>
                    </w:rPr>
                    <w:t>由湖北</w:t>
                  </w:r>
                  <w:r>
                    <w:rPr>
                      <w:rFonts w:hint="default" w:ascii="Times New Roman" w:hAnsi="Times New Roman" w:cs="Times New Roman"/>
                      <w:color w:val="auto"/>
                      <w:sz w:val="21"/>
                      <w:szCs w:val="21"/>
                    </w:rPr>
                    <w:t>海川环保科技有限公司进行回收处</w:t>
                  </w:r>
                  <w:r>
                    <w:rPr>
                      <w:rFonts w:hint="default" w:ascii="Times New Roman" w:hAnsi="Times New Roman" w:cs="Times New Roman"/>
                      <w:color w:val="000000" w:themeColor="text1"/>
                      <w:sz w:val="21"/>
                      <w:szCs w:val="21"/>
                    </w:rPr>
                    <w:t>理，</w:t>
                  </w:r>
                  <w:r>
                    <w:rPr>
                      <w:rFonts w:hint="default" w:ascii="Times New Roman" w:hAnsi="Times New Roman" w:cs="Times New Roman"/>
                      <w:sz w:val="21"/>
                      <w:szCs w:val="21"/>
                    </w:rPr>
                    <w:t>废活性炭与废过滤棉暂存于危废暂存间，后期拟交由有危废处理资质的单位处理</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sz w:val="21"/>
                      <w:szCs w:val="21"/>
                    </w:rPr>
                    <w:t>废活性炭与废过滤棉暂存</w:t>
                  </w:r>
                  <w:r>
                    <w:rPr>
                      <w:rFonts w:ascii="Times New Roman" w:hAnsi="Times New Roman" w:cs="Times New Roman"/>
                      <w:sz w:val="21"/>
                      <w:szCs w:val="21"/>
                    </w:rPr>
                    <w:t>于危废间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vAlign w:val="center"/>
                </w:tcPr>
                <w:p>
                  <w:pPr>
                    <w:pStyle w:val="2"/>
                    <w:spacing w:line="360" w:lineRule="auto"/>
                    <w:jc w:val="center"/>
                    <w:rPr>
                      <w:rFonts w:hint="default" w:ascii="Times New Roman" w:hAnsi="Times New Roman" w:cs="Times New Roman"/>
                      <w:b/>
                      <w:bCs/>
                      <w:kern w:val="2"/>
                      <w:szCs w:val="24"/>
                    </w:rPr>
                  </w:pPr>
                </w:p>
              </w:tc>
              <w:tc>
                <w:tcPr>
                  <w:tcW w:w="1137" w:type="dxa"/>
                  <w:vMerge w:val="continue"/>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p>
              </w:tc>
              <w:tc>
                <w:tcPr>
                  <w:tcW w:w="1088"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废油漆桶</w:t>
                  </w:r>
                </w:p>
              </w:tc>
              <w:tc>
                <w:tcPr>
                  <w:tcW w:w="2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分类收集暂存在危废暂存间，由供货厂家</w:t>
                  </w:r>
                </w:p>
                <w:p>
                  <w:pPr>
                    <w:jc w:val="center"/>
                    <w:rPr>
                      <w:rFonts w:ascii="Times New Roman" w:hAnsi="Times New Roman" w:cs="Times New Roman"/>
                      <w:szCs w:val="21"/>
                    </w:rPr>
                  </w:pPr>
                  <w:r>
                    <w:rPr>
                      <w:rFonts w:ascii="Times New Roman" w:hAnsi="Times New Roman" w:cs="Times New Roman"/>
                    </w:rPr>
                    <w:t>定期回收利用</w:t>
                  </w:r>
                </w:p>
              </w:tc>
              <w:tc>
                <w:tcPr>
                  <w:tcW w:w="1900" w:type="dxa"/>
                  <w:tcBorders>
                    <w:tl2br w:val="nil"/>
                    <w:tr2bl w:val="nil"/>
                  </w:tcBorders>
                  <w:vAlign w:val="center"/>
                </w:tcPr>
                <w:p>
                  <w:pPr>
                    <w:pStyle w:val="2"/>
                    <w:spacing w:line="360" w:lineRule="auto"/>
                    <w:jc w:val="center"/>
                    <w:rPr>
                      <w:rFonts w:hint="default" w:ascii="Times New Roman" w:hAnsi="Times New Roman" w:cs="Times New Roman"/>
                      <w:color w:val="FF0000"/>
                      <w:kern w:val="2"/>
                      <w:sz w:val="21"/>
                      <w:szCs w:val="21"/>
                    </w:rPr>
                  </w:pPr>
                  <w:r>
                    <w:rPr>
                      <w:rFonts w:hint="default" w:ascii="Times New Roman" w:hAnsi="Times New Roman" w:cs="Times New Roman"/>
                      <w:sz w:val="21"/>
                      <w:szCs w:val="21"/>
                    </w:rPr>
                    <w:t>暂存于危废暂存间，后期拟交由有危废处理资质的单位处理</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废油漆桶暂存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tcBorders>
                    <w:tl2br w:val="nil"/>
                    <w:tr2bl w:val="nil"/>
                  </w:tcBorders>
                  <w:vAlign w:val="center"/>
                </w:tcPr>
                <w:p>
                  <w:pPr>
                    <w:pStyle w:val="2"/>
                    <w:spacing w:line="360" w:lineRule="auto"/>
                    <w:jc w:val="center"/>
                    <w:rPr>
                      <w:rFonts w:hint="default" w:ascii="Times New Roman" w:hAnsi="Times New Roman" w:cs="Times New Roman"/>
                      <w:b/>
                      <w:bCs/>
                      <w:kern w:val="2"/>
                      <w:szCs w:val="24"/>
                    </w:rPr>
                  </w:pPr>
                  <w:r>
                    <w:rPr>
                      <w:rFonts w:hint="default" w:ascii="Times New Roman" w:hAnsi="Times New Roman" w:cs="Times New Roman"/>
                      <w:kern w:val="2"/>
                      <w:sz w:val="21"/>
                      <w:szCs w:val="21"/>
                    </w:rPr>
                    <w:t>噪声</w:t>
                  </w:r>
                </w:p>
              </w:tc>
              <w:tc>
                <w:tcPr>
                  <w:tcW w:w="2225" w:type="dxa"/>
                  <w:gridSpan w:val="2"/>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工业企业噪声</w:t>
                  </w:r>
                </w:p>
              </w:tc>
              <w:tc>
                <w:tcPr>
                  <w:tcW w:w="2225"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选用低噪声设备、减振、消声、隔声等措施；进出车辆采取限制速度、禁鸣喇叭等措施</w:t>
                  </w:r>
                </w:p>
              </w:tc>
              <w:tc>
                <w:tcPr>
                  <w:tcW w:w="1900"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选用低噪声设备、设备减振、距离衰减</w:t>
                  </w:r>
                </w:p>
              </w:tc>
              <w:tc>
                <w:tcPr>
                  <w:tcW w:w="1162" w:type="dxa"/>
                  <w:tcBorders>
                    <w:tl2br w:val="nil"/>
                    <w:tr2bl w:val="nil"/>
                  </w:tcBorders>
                  <w:vAlign w:val="center"/>
                </w:tcPr>
                <w:p>
                  <w:pPr>
                    <w:pStyle w:val="2"/>
                    <w:spacing w:line="360" w:lineRule="auto"/>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与环评一致</w:t>
                  </w:r>
                </w:p>
              </w:tc>
            </w:tr>
          </w:tbl>
          <w:p>
            <w:pPr>
              <w:pStyle w:val="2"/>
              <w:spacing w:line="360" w:lineRule="auto"/>
              <w:rPr>
                <w:rFonts w:hint="default" w:ascii="Times New Roman" w:hAnsi="Times New Roman" w:cs="Times New Roman"/>
                <w:b/>
                <w:bCs/>
                <w:kern w:val="2"/>
                <w:szCs w:val="24"/>
              </w:rPr>
            </w:pPr>
          </w:p>
        </w:tc>
      </w:tr>
    </w:tbl>
    <w:p>
      <w:pPr>
        <w:rPr>
          <w:rFonts w:ascii="Times New Roman" w:hAnsi="Times New Roman" w:cs="Times New Roman" w:eastAsiaTheme="majorEastAsia"/>
          <w:b/>
          <w:bCs/>
          <w:sz w:val="28"/>
          <w:szCs w:val="28"/>
        </w:rPr>
      </w:pPr>
      <w:bookmarkStart w:id="11" w:name="_Toc4301"/>
      <w:r>
        <w:rPr>
          <w:rFonts w:ascii="Times New Roman" w:hAnsi="Times New Roman" w:cs="Times New Roman" w:eastAsiaTheme="majorEastAsia"/>
          <w:b/>
          <w:bCs/>
          <w:sz w:val="28"/>
          <w:szCs w:val="28"/>
        </w:rPr>
        <w:br w:type="page"/>
      </w:r>
    </w:p>
    <w:p>
      <w:pPr>
        <w:jc w:val="center"/>
        <w:outlineLvl w:val="0"/>
        <w:rPr>
          <w:rFonts w:ascii="Times New Roman" w:hAnsi="Times New Roman" w:cs="Times New Roman" w:eastAsiaTheme="majorEastAsia"/>
          <w:b/>
          <w:bCs/>
          <w:sz w:val="28"/>
          <w:szCs w:val="28"/>
        </w:rPr>
      </w:pPr>
      <w:r>
        <w:rPr>
          <w:rFonts w:ascii="Times New Roman" w:hAnsi="Times New Roman" w:cs="Times New Roman" w:eastAsiaTheme="majorEastAsia"/>
          <w:b/>
          <w:bCs/>
          <w:sz w:val="28"/>
          <w:szCs w:val="28"/>
        </w:rPr>
        <w:t>表六 环评结论及环评批复的要求</w:t>
      </w:r>
      <w:bookmarkEnd w:id="11"/>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9" w:hRule="atLeast"/>
        </w:trPr>
        <w:tc>
          <w:tcPr>
            <w:tcW w:w="8522" w:type="dxa"/>
          </w:tcPr>
          <w:p>
            <w:pPr>
              <w:numPr>
                <w:ilvl w:val="0"/>
                <w:numId w:val="2"/>
              </w:numPr>
              <w:spacing w:line="420" w:lineRule="auto"/>
              <w:rPr>
                <w:rFonts w:ascii="Times New Roman" w:hAnsi="Times New Roman" w:cs="Times New Roman"/>
                <w:sz w:val="24"/>
              </w:rPr>
            </w:pPr>
            <w:r>
              <w:rPr>
                <w:rFonts w:ascii="Times New Roman" w:hAnsi="Times New Roman" w:cs="Times New Roman"/>
                <w:sz w:val="24"/>
              </w:rPr>
              <w:t>环评总结论</w:t>
            </w:r>
          </w:p>
          <w:p>
            <w:pPr>
              <w:spacing w:line="420" w:lineRule="auto"/>
              <w:ind w:firstLine="480"/>
              <w:rPr>
                <w:rFonts w:ascii="Times New Roman" w:hAnsi="Times New Roman" w:cs="Times New Roman"/>
                <w:sz w:val="24"/>
              </w:rPr>
            </w:pPr>
            <w:r>
              <w:rPr>
                <w:rFonts w:ascii="Times New Roman" w:hAnsi="Times New Roman" w:cs="Times New Roman"/>
                <w:sz w:val="24"/>
              </w:rPr>
              <w:t>本项目符合国家产业政策，符合当地发展规划，体现了社会效益、经济效益协同发展的要求，满足环境保护“清洁生产，达标排放，总量控制”的要求。运营期会产生水、气、固体废物和噪声等环境问题，但在全面落实本报告表中提出的各项环境保护措施的情况下，各主要污染物的排放量能控制在允许的范围内，对环境不会产生明显影响。因此，该项目的建设从环境保护的角度考虑是可行的。</w:t>
            </w:r>
          </w:p>
          <w:p>
            <w:pPr>
              <w:pStyle w:val="2"/>
              <w:spacing w:line="420" w:lineRule="auto"/>
              <w:rPr>
                <w:rFonts w:hint="default" w:ascii="Times New Roman" w:hAnsi="Times New Roman" w:cs="Times New Roman"/>
                <w:szCs w:val="24"/>
              </w:rPr>
            </w:pPr>
            <w:r>
              <w:rPr>
                <w:rFonts w:hint="default" w:ascii="Times New Roman" w:hAnsi="Times New Roman" w:cs="Times New Roman"/>
                <w:szCs w:val="24"/>
              </w:rPr>
              <w:t>二、环评批复要求</w:t>
            </w:r>
          </w:p>
          <w:p>
            <w:pPr>
              <w:spacing w:line="420" w:lineRule="auto"/>
              <w:ind w:firstLine="480"/>
              <w:rPr>
                <w:rFonts w:ascii="Times New Roman" w:hAnsi="Times New Roman" w:cs="Times New Roman"/>
                <w:sz w:val="24"/>
              </w:rPr>
            </w:pPr>
            <w:r>
              <w:rPr>
                <w:rFonts w:ascii="Times New Roman" w:hAnsi="Times New Roman" w:cs="Times New Roman"/>
                <w:sz w:val="24"/>
              </w:rPr>
              <w:t>1、按“雨污分流、清污分流”的要求规划建设好项目区排水系统，项目生活污水</w:t>
            </w:r>
            <w:r>
              <w:rPr>
                <w:rFonts w:hint="eastAsia" w:ascii="Times New Roman" w:hAnsi="Times New Roman" w:cs="Times New Roman"/>
                <w:sz w:val="24"/>
                <w:lang w:eastAsia="zh-CN"/>
              </w:rPr>
              <w:t>与</w:t>
            </w:r>
            <w:r>
              <w:rPr>
                <w:rFonts w:ascii="Times New Roman" w:hAnsi="Times New Roman" w:cs="Times New Roman"/>
                <w:sz w:val="24"/>
              </w:rPr>
              <w:t>经隔油、沉淀池处理的洗车废水一起进入化粪池处理，达到《汽车维修业水污染物排放标准》(GB26877-2011)表2中的间接排放限值要求后和污水处理厂接管标准要求后，通过市政污水管网排入开发区污水处理厂进一步处理达标排放。</w:t>
            </w:r>
          </w:p>
          <w:p>
            <w:pPr>
              <w:spacing w:line="420" w:lineRule="auto"/>
              <w:ind w:firstLine="480"/>
              <w:rPr>
                <w:rFonts w:ascii="Times New Roman" w:hAnsi="Times New Roman" w:cs="Times New Roman"/>
                <w:sz w:val="24"/>
              </w:rPr>
            </w:pPr>
            <w:r>
              <w:rPr>
                <w:rFonts w:ascii="Times New Roman" w:hAnsi="Times New Roman" w:cs="Times New Roman"/>
                <w:sz w:val="24"/>
              </w:rPr>
              <w:t>2、本项目营运期产生的废气主要是喷漆废气。喷漆废气通过过滤棉+活性炭吸附装置处理后通过15m高排气筒高空排放，执行《天津市工业企业挥发性有机物排放控制标准》(DB12524-2014)中汽车制造维修中相关排放限值要求。</w:t>
            </w:r>
          </w:p>
          <w:p>
            <w:pPr>
              <w:spacing w:line="420" w:lineRule="auto"/>
              <w:ind w:firstLine="480"/>
              <w:rPr>
                <w:rFonts w:ascii="Times New Roman" w:hAnsi="Times New Roman" w:cs="Times New Roman"/>
                <w:sz w:val="24"/>
              </w:rPr>
            </w:pPr>
            <w:r>
              <w:rPr>
                <w:rFonts w:ascii="Times New Roman" w:hAnsi="Times New Roman" w:cs="Times New Roman"/>
                <w:sz w:val="24"/>
              </w:rPr>
              <w:t>3、本项目噪声主要来自设备运转产生的噪声。选用低噪声设备、合理布局，高噪声设备采用减振、隔声、消声、距离衰减等降噪措施，确保厂界噪声达到《工业企业厂界环境噪声排放标准》(GB12348-2008)中3类标准。</w:t>
            </w:r>
          </w:p>
          <w:p>
            <w:pPr>
              <w:spacing w:line="420" w:lineRule="auto"/>
              <w:ind w:firstLine="480"/>
              <w:rPr>
                <w:rFonts w:ascii="Times New Roman" w:hAnsi="Times New Roman" w:cs="Times New Roman"/>
                <w:sz w:val="24"/>
              </w:rPr>
            </w:pPr>
            <w:r>
              <w:rPr>
                <w:rFonts w:ascii="Times New Roman" w:hAnsi="Times New Roman" w:cs="Times New Roman"/>
                <w:sz w:val="24"/>
              </w:rPr>
              <w:t>4、按“减量化、资源化、无害化”原则，落实各类固体废物的收集、处置和综合利用措施，实现零排放，生活垃圾交由环卫部门统一清运处理；一般工业固废外售回收综合利用；废活性炭、废过滤棉等危险废物按规范要求管理，统一收集后委托有危废处置资质的单位安全处置。</w:t>
            </w:r>
          </w:p>
          <w:p>
            <w:pPr>
              <w:pStyle w:val="8"/>
              <w:rPr>
                <w:rFonts w:ascii="Times New Roman" w:hAnsi="Times New Roman" w:cs="Times New Roman"/>
                <w:sz w:val="24"/>
              </w:rPr>
            </w:pPr>
          </w:p>
          <w:p>
            <w:pPr>
              <w:pStyle w:val="8"/>
              <w:rPr>
                <w:rFonts w:ascii="Times New Roman" w:hAnsi="Times New Roman" w:cs="Times New Roman"/>
                <w:sz w:val="24"/>
              </w:rPr>
            </w:pPr>
          </w:p>
        </w:tc>
      </w:tr>
    </w:tbl>
    <w:p>
      <w:pPr>
        <w:pStyle w:val="2"/>
        <w:jc w:val="center"/>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表七  验收监测质量保证及质量控制</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jc w:val="both"/>
              <w:rPr>
                <w:rFonts w:hint="default" w:ascii="Times New Roman" w:hAnsi="Times New Roman" w:cs="Times New Roman"/>
                <w:b/>
                <w:bCs/>
                <w:szCs w:val="24"/>
              </w:rPr>
            </w:pPr>
            <w:r>
              <w:rPr>
                <w:rFonts w:hint="default" w:ascii="Times New Roman" w:hAnsi="Times New Roman" w:cs="Times New Roman"/>
                <w:b/>
                <w:bCs/>
                <w:szCs w:val="24"/>
              </w:rPr>
              <w:t>7.1、监测质量保证措施</w:t>
            </w:r>
          </w:p>
          <w:p>
            <w:pPr>
              <w:pStyle w:val="2"/>
              <w:tabs>
                <w:tab w:val="left" w:pos="2631"/>
                <w:tab w:val="left" w:pos="5747"/>
              </w:tabs>
              <w:spacing w:line="360" w:lineRule="auto"/>
              <w:ind w:firstLine="480" w:firstLineChars="200"/>
              <w:jc w:val="both"/>
              <w:rPr>
                <w:rFonts w:hint="default" w:ascii="Times New Roman" w:hAnsi="Times New Roman" w:cs="Times New Roman"/>
                <w:kern w:val="2"/>
                <w:szCs w:val="24"/>
              </w:rPr>
            </w:pPr>
            <w:r>
              <w:rPr>
                <w:rFonts w:hint="default" w:ascii="Times New Roman" w:hAnsi="Times New Roman" w:cs="Times New Roman"/>
                <w:kern w:val="2"/>
                <w:szCs w:val="24"/>
              </w:rPr>
              <w:t>(1)现场监测期间，有专人监视工况条件，保证该装置生产设施及环境保护设施处于正常运行状况。</w:t>
            </w:r>
          </w:p>
          <w:p>
            <w:pPr>
              <w:pStyle w:val="2"/>
              <w:tabs>
                <w:tab w:val="left" w:pos="2631"/>
                <w:tab w:val="left" w:pos="5747"/>
              </w:tabs>
              <w:spacing w:line="360" w:lineRule="auto"/>
              <w:ind w:firstLine="480" w:firstLineChars="200"/>
              <w:jc w:val="both"/>
              <w:rPr>
                <w:rFonts w:hint="default" w:ascii="Times New Roman" w:hAnsi="Times New Roman" w:cs="Times New Roman"/>
                <w:kern w:val="2"/>
                <w:szCs w:val="24"/>
              </w:rPr>
            </w:pPr>
            <w:r>
              <w:rPr>
                <w:rFonts w:hint="default" w:ascii="Times New Roman" w:hAnsi="Times New Roman" w:cs="Times New Roman"/>
                <w:kern w:val="2"/>
                <w:szCs w:val="24"/>
              </w:rPr>
              <w:t>(2)监测过程严格执行国家有关标准，按《环境监测技术规范》要求进行全程质量控制。</w:t>
            </w:r>
          </w:p>
          <w:p>
            <w:pPr>
              <w:pStyle w:val="2"/>
              <w:tabs>
                <w:tab w:val="left" w:pos="2631"/>
                <w:tab w:val="left" w:pos="5747"/>
              </w:tabs>
              <w:spacing w:line="360" w:lineRule="auto"/>
              <w:ind w:firstLine="480" w:firstLineChars="200"/>
              <w:jc w:val="both"/>
              <w:rPr>
                <w:rFonts w:hint="default" w:ascii="Times New Roman" w:hAnsi="Times New Roman" w:cs="Times New Roman"/>
                <w:kern w:val="2"/>
                <w:szCs w:val="24"/>
              </w:rPr>
            </w:pPr>
            <w:r>
              <w:rPr>
                <w:rFonts w:hint="default" w:ascii="Times New Roman" w:hAnsi="Times New Roman" w:cs="Times New Roman"/>
                <w:kern w:val="2"/>
                <w:szCs w:val="24"/>
              </w:rPr>
              <w:t>(3)监测人员持证上岗。</w:t>
            </w:r>
          </w:p>
          <w:p>
            <w:pPr>
              <w:pStyle w:val="2"/>
              <w:tabs>
                <w:tab w:val="left" w:pos="2631"/>
                <w:tab w:val="left" w:pos="5747"/>
              </w:tabs>
              <w:spacing w:line="360" w:lineRule="auto"/>
              <w:ind w:firstLine="480" w:firstLineChars="200"/>
              <w:jc w:val="both"/>
              <w:rPr>
                <w:rFonts w:hint="default" w:ascii="Times New Roman" w:hAnsi="Times New Roman" w:cs="Times New Roman"/>
                <w:kern w:val="2"/>
                <w:szCs w:val="24"/>
              </w:rPr>
            </w:pPr>
            <w:r>
              <w:rPr>
                <w:rFonts w:hint="default" w:ascii="Times New Roman" w:hAnsi="Times New Roman" w:cs="Times New Roman"/>
                <w:kern w:val="2"/>
                <w:szCs w:val="24"/>
              </w:rPr>
              <w:t>(4)监测时使用经计量部门检定并在有效期内的声级计，声级计在测试前后用声校准器进行校准，测量前后仪器的校准示值偏</w:t>
            </w:r>
            <w:r>
              <w:rPr>
                <w:rFonts w:hint="default" w:ascii="Times New Roman" w:hAnsi="Times New Roman" w:cs="Times New Roman"/>
                <w:color w:val="000000" w:themeColor="text1"/>
                <w:kern w:val="2"/>
                <w:szCs w:val="24"/>
              </w:rPr>
              <w:t>差不大于0.5dB（A）</w:t>
            </w:r>
            <w:r>
              <w:rPr>
                <w:rFonts w:hint="default" w:ascii="Times New Roman" w:hAnsi="Times New Roman" w:cs="Times New Roman"/>
                <w:kern w:val="2"/>
                <w:szCs w:val="24"/>
              </w:rPr>
              <w:t>。</w:t>
            </w:r>
          </w:p>
          <w:p>
            <w:pPr>
              <w:pStyle w:val="2"/>
              <w:tabs>
                <w:tab w:val="left" w:pos="2631"/>
                <w:tab w:val="left" w:pos="5747"/>
              </w:tabs>
              <w:spacing w:line="360" w:lineRule="auto"/>
              <w:ind w:firstLine="480" w:firstLineChars="200"/>
              <w:jc w:val="both"/>
              <w:rPr>
                <w:rFonts w:hint="default" w:ascii="Times New Roman" w:hAnsi="Times New Roman" w:cs="Times New Roman"/>
                <w:kern w:val="2"/>
                <w:szCs w:val="24"/>
              </w:rPr>
            </w:pPr>
            <w:r>
              <w:rPr>
                <w:rFonts w:hint="default" w:ascii="Times New Roman" w:hAnsi="Times New Roman" w:cs="Times New Roman"/>
                <w:kern w:val="2"/>
                <w:szCs w:val="24"/>
              </w:rPr>
              <w:t>(5)样品交接程序清楚，监测记录及上报结果执行三级审核制度。</w:t>
            </w:r>
          </w:p>
          <w:p>
            <w:pPr>
              <w:pStyle w:val="2"/>
              <w:tabs>
                <w:tab w:val="left" w:pos="2631"/>
                <w:tab w:val="left" w:pos="5747"/>
              </w:tabs>
              <w:spacing w:line="360" w:lineRule="auto"/>
              <w:ind w:firstLine="480" w:firstLineChars="200"/>
              <w:jc w:val="both"/>
              <w:rPr>
                <w:rFonts w:hint="default" w:ascii="Times New Roman" w:hAnsi="Times New Roman" w:cs="Times New Roman"/>
                <w:kern w:val="2"/>
                <w:szCs w:val="24"/>
              </w:rPr>
            </w:pPr>
            <w:r>
              <w:rPr>
                <w:rFonts w:hint="default" w:ascii="Times New Roman" w:hAnsi="Times New Roman" w:cs="Times New Roman"/>
                <w:kern w:val="2"/>
                <w:szCs w:val="24"/>
              </w:rPr>
              <w:t>(6)监测仪器均通过计量部门检定或自检合格。</w:t>
            </w:r>
          </w:p>
          <w:p>
            <w:pPr>
              <w:pStyle w:val="2"/>
              <w:jc w:val="both"/>
              <w:rPr>
                <w:rFonts w:hint="default" w:ascii="Times New Roman" w:hAnsi="Times New Roman" w:cs="Times New Roman"/>
                <w:b/>
                <w:bCs/>
                <w:szCs w:val="24"/>
              </w:rPr>
            </w:pPr>
            <w:r>
              <w:rPr>
                <w:rFonts w:hint="default" w:ascii="Times New Roman" w:hAnsi="Times New Roman" w:cs="Times New Roman"/>
                <w:b/>
                <w:bCs/>
                <w:szCs w:val="24"/>
              </w:rPr>
              <w:t>7.2、质量控制</w:t>
            </w:r>
          </w:p>
          <w:p>
            <w:pPr>
              <w:pStyle w:val="2"/>
              <w:tabs>
                <w:tab w:val="left" w:pos="2631"/>
                <w:tab w:val="left" w:pos="5747"/>
              </w:tabs>
              <w:spacing w:line="360" w:lineRule="auto"/>
              <w:jc w:val="both"/>
              <w:rPr>
                <w:rFonts w:hint="default" w:ascii="Times New Roman" w:hAnsi="Times New Roman" w:cs="Times New Roman"/>
                <w:b/>
                <w:bCs/>
                <w:kern w:val="2"/>
                <w:szCs w:val="24"/>
              </w:rPr>
            </w:pPr>
            <w:r>
              <w:rPr>
                <w:rFonts w:hint="default" w:ascii="Times New Roman" w:hAnsi="Times New Roman" w:cs="Times New Roman"/>
                <w:b/>
                <w:bCs/>
                <w:kern w:val="2"/>
                <w:szCs w:val="24"/>
              </w:rPr>
              <w:t>7.2.1、废水</w:t>
            </w:r>
          </w:p>
          <w:p>
            <w:pPr>
              <w:rPr>
                <w:rFonts w:ascii="Times New Roman" w:hAnsi="Times New Roman" w:cs="Times New Roman"/>
                <w:sz w:val="24"/>
              </w:rPr>
            </w:pPr>
            <w:r>
              <w:rPr>
                <w:rFonts w:ascii="Times New Roman" w:hAnsi="Times New Roman" w:cs="Times New Roman"/>
                <w:sz w:val="24"/>
              </w:rPr>
              <w:t>（1）平行双样分析结果表</w:t>
            </w:r>
          </w:p>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表7-1 平行双样分析结果一览表</w:t>
            </w:r>
          </w:p>
          <w:tbl>
            <w:tblPr>
              <w:tblStyle w:val="17"/>
              <w:tblW w:w="82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2175"/>
              <w:gridCol w:w="2113"/>
              <w:gridCol w:w="1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tcBorders>
                    <w:bottom w:val="single" w:color="auto" w:sz="12" w:space="0"/>
                  </w:tcBorders>
                  <w:vAlign w:val="center"/>
                </w:tcPr>
                <w:p>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项目</w:t>
                  </w:r>
                </w:p>
              </w:tc>
              <w:tc>
                <w:tcPr>
                  <w:tcW w:w="2175" w:type="dxa"/>
                  <w:tcBorders>
                    <w:bottom w:val="single" w:color="auto" w:sz="12" w:space="0"/>
                  </w:tcBorders>
                  <w:vAlign w:val="center"/>
                </w:tcPr>
                <w:p>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测定平行双样偏差</w:t>
                  </w:r>
                </w:p>
              </w:tc>
              <w:tc>
                <w:tcPr>
                  <w:tcW w:w="2113" w:type="dxa"/>
                  <w:tcBorders>
                    <w:bottom w:val="single" w:color="auto" w:sz="12" w:space="0"/>
                  </w:tcBorders>
                  <w:vAlign w:val="center"/>
                </w:tcPr>
                <w:p>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规定平行双样偏差</w:t>
                  </w:r>
                </w:p>
              </w:tc>
              <w:tc>
                <w:tcPr>
                  <w:tcW w:w="1750" w:type="dxa"/>
                  <w:tcBorders>
                    <w:bottom w:val="single" w:color="auto" w:sz="12" w:space="0"/>
                  </w:tcBorders>
                  <w:vAlign w:val="center"/>
                </w:tcPr>
                <w:p>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vMerge w:val="restart"/>
                  <w:tcBorders>
                    <w:top w:val="single" w:color="auto" w:sz="12" w:space="0"/>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化学需氧量</w:t>
                  </w:r>
                </w:p>
              </w:tc>
              <w:tc>
                <w:tcPr>
                  <w:tcW w:w="2175" w:type="dxa"/>
                  <w:tcBorders>
                    <w:top w:val="single" w:color="auto" w:sz="12" w:space="0"/>
                    <w:bottom w:val="single" w:color="auto" w:sz="4" w:space="0"/>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3.8%</w:t>
                  </w:r>
                </w:p>
              </w:tc>
              <w:tc>
                <w:tcPr>
                  <w:tcW w:w="2113" w:type="dxa"/>
                  <w:vMerge w:val="restart"/>
                  <w:tcBorders>
                    <w:top w:val="single" w:color="auto" w:sz="12" w:space="0"/>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1750" w:type="dxa"/>
                  <w:vMerge w:val="restart"/>
                  <w:tcBorders>
                    <w:top w:val="single" w:color="auto" w:sz="12" w:space="0"/>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2175" w:type="dxa"/>
                  <w:tcBorders>
                    <w:top w:val="single" w:color="auto" w:sz="4" w:space="0"/>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3.6</w:t>
                  </w:r>
                </w:p>
              </w:tc>
              <w:tc>
                <w:tcPr>
                  <w:tcW w:w="2113"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750" w:type="dxa"/>
                  <w:vMerge w:val="continue"/>
                  <w:tcBorders>
                    <w:tl2br w:val="nil"/>
                    <w:tr2bl w:val="nil"/>
                  </w:tcBorders>
                  <w:vAlign w:val="center"/>
                </w:tcPr>
                <w:p>
                  <w:pPr>
                    <w:jc w:val="center"/>
                    <w:rPr>
                      <w:rFonts w:ascii="Times New Roman" w:hAnsi="Times New Roman"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氨氮</w:t>
                  </w:r>
                </w:p>
              </w:tc>
              <w:tc>
                <w:tcPr>
                  <w:tcW w:w="2175"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2113"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≤15%</w:t>
                  </w:r>
                </w:p>
              </w:tc>
              <w:tc>
                <w:tcPr>
                  <w:tcW w:w="1750"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2175"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2113"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750" w:type="dxa"/>
                  <w:vMerge w:val="continue"/>
                  <w:tcBorders>
                    <w:tl2br w:val="nil"/>
                    <w:tr2bl w:val="nil"/>
                  </w:tcBorders>
                  <w:vAlign w:val="center"/>
                </w:tcPr>
                <w:p>
                  <w:pPr>
                    <w:jc w:val="center"/>
                    <w:rPr>
                      <w:rFonts w:ascii="Times New Roman" w:hAnsi="Times New Roman"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五日生化需氧量</w:t>
                  </w:r>
                </w:p>
              </w:tc>
              <w:tc>
                <w:tcPr>
                  <w:tcW w:w="2175"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2113"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≤20%</w:t>
                  </w:r>
                </w:p>
              </w:tc>
              <w:tc>
                <w:tcPr>
                  <w:tcW w:w="1750"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2175"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8.7%</w:t>
                  </w:r>
                </w:p>
              </w:tc>
              <w:tc>
                <w:tcPr>
                  <w:tcW w:w="2113"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750" w:type="dxa"/>
                  <w:vMerge w:val="continue"/>
                  <w:tcBorders>
                    <w:tl2br w:val="nil"/>
                    <w:tr2bl w:val="nil"/>
                  </w:tcBorders>
                  <w:vAlign w:val="center"/>
                </w:tcPr>
                <w:p>
                  <w:pPr>
                    <w:jc w:val="center"/>
                    <w:rPr>
                      <w:rFonts w:ascii="Times New Roman" w:hAnsi="Times New Roman"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总磷</w:t>
                  </w:r>
                </w:p>
              </w:tc>
              <w:tc>
                <w:tcPr>
                  <w:tcW w:w="2175"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7.8%</w:t>
                  </w:r>
                </w:p>
              </w:tc>
              <w:tc>
                <w:tcPr>
                  <w:tcW w:w="2113"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1750"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4"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2175"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2.3%</w:t>
                  </w:r>
                </w:p>
              </w:tc>
              <w:tc>
                <w:tcPr>
                  <w:tcW w:w="2113"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750" w:type="dxa"/>
                  <w:vMerge w:val="continue"/>
                  <w:tcBorders>
                    <w:tl2br w:val="nil"/>
                    <w:tr2bl w:val="nil"/>
                  </w:tcBorders>
                  <w:vAlign w:val="center"/>
                </w:tcPr>
                <w:p>
                  <w:pPr>
                    <w:jc w:val="center"/>
                    <w:rPr>
                      <w:rFonts w:ascii="Times New Roman" w:hAnsi="Times New Roman" w:cs="Times New Roman"/>
                      <w:color w:val="000000" w:themeColor="text1"/>
                      <w:szCs w:val="21"/>
                    </w:rPr>
                  </w:pPr>
                </w:p>
              </w:tc>
            </w:tr>
          </w:tbl>
          <w:p>
            <w:pPr>
              <w:rPr>
                <w:rFonts w:ascii="Times New Roman" w:hAnsi="Times New Roman" w:cs="Times New Roman"/>
                <w:color w:val="000000" w:themeColor="text1"/>
                <w:sz w:val="24"/>
              </w:rPr>
            </w:pPr>
            <w:r>
              <w:rPr>
                <w:rFonts w:ascii="Times New Roman" w:hAnsi="Times New Roman" w:cs="Times New Roman"/>
                <w:color w:val="000000" w:themeColor="text1"/>
                <w:sz w:val="24"/>
              </w:rPr>
              <w:t>（2）质控样分析结果表</w:t>
            </w:r>
          </w:p>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sz w:val="21"/>
                <w:szCs w:val="21"/>
              </w:rPr>
              <w:t xml:space="preserve">表7-2 </w:t>
            </w:r>
            <w:r>
              <w:rPr>
                <w:rFonts w:hint="default" w:ascii="Times New Roman" w:hAnsi="Times New Roman" w:cs="Times New Roman"/>
                <w:b/>
                <w:bCs/>
                <w:color w:val="000000" w:themeColor="text1"/>
                <w:sz w:val="21"/>
                <w:szCs w:val="21"/>
              </w:rPr>
              <w:t>质控分析结果一览表</w:t>
            </w:r>
          </w:p>
          <w:tbl>
            <w:tblPr>
              <w:tblStyle w:val="17"/>
              <w:tblW w:w="82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868"/>
              <w:gridCol w:w="1843"/>
              <w:gridCol w:w="1477"/>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tcBorders>
                    <w:bottom w:val="single" w:color="auto" w:sz="12" w:space="0"/>
                  </w:tcBorders>
                  <w:vAlign w:val="center"/>
                </w:tcPr>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项目</w:t>
                  </w:r>
                </w:p>
              </w:tc>
              <w:tc>
                <w:tcPr>
                  <w:tcW w:w="1868" w:type="dxa"/>
                  <w:tcBorders>
                    <w:bottom w:val="single" w:color="auto" w:sz="12" w:space="0"/>
                  </w:tcBorders>
                  <w:vAlign w:val="center"/>
                </w:tcPr>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质控样编号</w:t>
                  </w:r>
                </w:p>
              </w:tc>
              <w:tc>
                <w:tcPr>
                  <w:tcW w:w="1843" w:type="dxa"/>
                  <w:tcBorders>
                    <w:bottom w:val="single" w:color="auto" w:sz="12" w:space="0"/>
                  </w:tcBorders>
                  <w:vAlign w:val="center"/>
                </w:tcPr>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质控样浓度值（mg/L）</w:t>
                  </w:r>
                </w:p>
              </w:tc>
              <w:tc>
                <w:tcPr>
                  <w:tcW w:w="1477" w:type="dxa"/>
                  <w:tcBorders>
                    <w:bottom w:val="single" w:color="auto" w:sz="12" w:space="0"/>
                  </w:tcBorders>
                  <w:vAlign w:val="center"/>
                </w:tcPr>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测定值（mg/L）</w:t>
                  </w:r>
                </w:p>
              </w:tc>
              <w:tc>
                <w:tcPr>
                  <w:tcW w:w="943" w:type="dxa"/>
                  <w:tcBorders>
                    <w:bottom w:val="single" w:color="auto" w:sz="12" w:space="0"/>
                  </w:tcBorders>
                  <w:vAlign w:val="center"/>
                </w:tcPr>
                <w:p>
                  <w:pPr>
                    <w:pStyle w:val="2"/>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化学需氧量</w:t>
                  </w:r>
                </w:p>
              </w:tc>
              <w:tc>
                <w:tcPr>
                  <w:tcW w:w="1868"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GX2020050713</w:t>
                  </w:r>
                </w:p>
              </w:tc>
              <w:tc>
                <w:tcPr>
                  <w:tcW w:w="184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67.7±4.3</w:t>
                  </w:r>
                </w:p>
              </w:tc>
              <w:tc>
                <w:tcPr>
                  <w:tcW w:w="1477"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66.9</w:t>
                  </w:r>
                </w:p>
              </w:tc>
              <w:tc>
                <w:tcPr>
                  <w:tcW w:w="94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868"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84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477"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68.9</w:t>
                  </w:r>
                </w:p>
              </w:tc>
              <w:tc>
                <w:tcPr>
                  <w:tcW w:w="94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动植物油</w:t>
                  </w:r>
                </w:p>
              </w:tc>
              <w:tc>
                <w:tcPr>
                  <w:tcW w:w="1868"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GX2020050713</w:t>
                  </w:r>
                </w:p>
              </w:tc>
              <w:tc>
                <w:tcPr>
                  <w:tcW w:w="184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60.6±4.8</w:t>
                  </w:r>
                </w:p>
              </w:tc>
              <w:tc>
                <w:tcPr>
                  <w:tcW w:w="1477"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61.4</w:t>
                  </w:r>
                </w:p>
              </w:tc>
              <w:tc>
                <w:tcPr>
                  <w:tcW w:w="94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868"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84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477"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61.9</w:t>
                  </w:r>
                </w:p>
              </w:tc>
              <w:tc>
                <w:tcPr>
                  <w:tcW w:w="94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五日生化需要量</w:t>
                  </w:r>
                </w:p>
              </w:tc>
              <w:tc>
                <w:tcPr>
                  <w:tcW w:w="1868"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GX2020050713</w:t>
                  </w:r>
                </w:p>
              </w:tc>
              <w:tc>
                <w:tcPr>
                  <w:tcW w:w="184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82.3±5.6</w:t>
                  </w:r>
                </w:p>
              </w:tc>
              <w:tc>
                <w:tcPr>
                  <w:tcW w:w="1477"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82.2</w:t>
                  </w:r>
                </w:p>
              </w:tc>
              <w:tc>
                <w:tcPr>
                  <w:tcW w:w="94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868"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84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477"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80.6</w:t>
                  </w:r>
                </w:p>
              </w:tc>
              <w:tc>
                <w:tcPr>
                  <w:tcW w:w="94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石油类</w:t>
                  </w:r>
                </w:p>
              </w:tc>
              <w:tc>
                <w:tcPr>
                  <w:tcW w:w="1868"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GX2020050713</w:t>
                  </w:r>
                </w:p>
              </w:tc>
              <w:tc>
                <w:tcPr>
                  <w:tcW w:w="184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60.6±4.8</w:t>
                  </w:r>
                </w:p>
              </w:tc>
              <w:tc>
                <w:tcPr>
                  <w:tcW w:w="1477"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61.9</w:t>
                  </w:r>
                </w:p>
              </w:tc>
              <w:tc>
                <w:tcPr>
                  <w:tcW w:w="943" w:type="dxa"/>
                  <w:vMerge w:val="restart"/>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868"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84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c>
                <w:tcPr>
                  <w:tcW w:w="1477"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61.4</w:t>
                  </w:r>
                </w:p>
              </w:tc>
              <w:tc>
                <w:tcPr>
                  <w:tcW w:w="943" w:type="dxa"/>
                  <w:vMerge w:val="continue"/>
                  <w:tcBorders>
                    <w:tl2br w:val="nil"/>
                    <w:tr2bl w:val="nil"/>
                  </w:tcBorders>
                  <w:vAlign w:val="center"/>
                </w:tcPr>
                <w:p>
                  <w:pPr>
                    <w:pStyle w:val="2"/>
                    <w:jc w:val="center"/>
                    <w:rPr>
                      <w:rFonts w:hint="default" w:ascii="Times New Roman" w:hAnsi="Times New Roman" w:cs="Times New Roman"/>
                      <w:color w:val="000000" w:themeColor="text1"/>
                      <w:sz w:val="21"/>
                      <w:szCs w:val="21"/>
                    </w:rPr>
                  </w:pPr>
                </w:p>
              </w:tc>
            </w:tr>
          </w:tbl>
          <w:p>
            <w:pPr>
              <w:rPr>
                <w:rFonts w:ascii="Times New Roman" w:hAnsi="Times New Roman" w:cs="Times New Roman"/>
                <w:sz w:val="24"/>
              </w:rPr>
            </w:pPr>
            <w:r>
              <w:rPr>
                <w:rFonts w:ascii="Times New Roman" w:hAnsi="Times New Roman" w:cs="Times New Roman"/>
                <w:sz w:val="24"/>
              </w:rPr>
              <w:t>（3）加标回收分析结果表</w:t>
            </w:r>
          </w:p>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表7-3 加标回收分析结果一览表</w:t>
            </w:r>
          </w:p>
          <w:tbl>
            <w:tblPr>
              <w:tblStyle w:val="17"/>
              <w:tblW w:w="829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2558"/>
              <w:gridCol w:w="2075"/>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tcBorders>
                    <w:bottom w:val="single" w:color="auto" w:sz="12" w:space="0"/>
                  </w:tcBorders>
                  <w:vAlign w:val="center"/>
                </w:tcPr>
                <w:p>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项目</w:t>
                  </w:r>
                </w:p>
              </w:tc>
              <w:tc>
                <w:tcPr>
                  <w:tcW w:w="2558" w:type="dxa"/>
                  <w:tcBorders>
                    <w:bottom w:val="single" w:color="auto" w:sz="12" w:space="0"/>
                  </w:tcBorders>
                  <w:vAlign w:val="center"/>
                </w:tcPr>
                <w:p>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本次分析加标回收率</w:t>
                  </w:r>
                </w:p>
              </w:tc>
              <w:tc>
                <w:tcPr>
                  <w:tcW w:w="2075" w:type="dxa"/>
                  <w:tcBorders>
                    <w:bottom w:val="single" w:color="auto" w:sz="12" w:space="0"/>
                  </w:tcBorders>
                  <w:vAlign w:val="center"/>
                </w:tcPr>
                <w:p>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允许加标回收率</w:t>
                  </w:r>
                </w:p>
              </w:tc>
              <w:tc>
                <w:tcPr>
                  <w:tcW w:w="1700" w:type="dxa"/>
                  <w:tcBorders>
                    <w:bottom w:val="single" w:color="auto" w:sz="12" w:space="0"/>
                  </w:tcBorders>
                  <w:vAlign w:val="center"/>
                </w:tcPr>
                <w:p>
                  <w:pPr>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vMerge w:val="restart"/>
                  <w:tcBorders>
                    <w:top w:val="single" w:color="auto" w:sz="12" w:space="0"/>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氨氮</w:t>
                  </w:r>
                </w:p>
              </w:tc>
              <w:tc>
                <w:tcPr>
                  <w:tcW w:w="2558" w:type="dxa"/>
                  <w:tcBorders>
                    <w:top w:val="single" w:color="auto" w:sz="12" w:space="0"/>
                    <w:bottom w:val="single" w:color="auto" w:sz="4" w:space="0"/>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101.5%</w:t>
                  </w:r>
                </w:p>
              </w:tc>
              <w:tc>
                <w:tcPr>
                  <w:tcW w:w="2075" w:type="dxa"/>
                  <w:vMerge w:val="restart"/>
                  <w:tcBorders>
                    <w:top w:val="single" w:color="auto" w:sz="12" w:space="0"/>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95%-105%</w:t>
                  </w:r>
                </w:p>
              </w:tc>
              <w:tc>
                <w:tcPr>
                  <w:tcW w:w="1700" w:type="dxa"/>
                  <w:vMerge w:val="restart"/>
                  <w:tcBorders>
                    <w:top w:val="single" w:color="auto" w:sz="12" w:space="0"/>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2558" w:type="dxa"/>
                  <w:tcBorders>
                    <w:top w:val="single" w:color="auto" w:sz="4" w:space="0"/>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101.3%</w:t>
                  </w:r>
                </w:p>
              </w:tc>
              <w:tc>
                <w:tcPr>
                  <w:tcW w:w="2075"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700" w:type="dxa"/>
                  <w:vMerge w:val="continue"/>
                  <w:tcBorders>
                    <w:tl2br w:val="nil"/>
                    <w:tr2bl w:val="nil"/>
                  </w:tcBorders>
                  <w:vAlign w:val="center"/>
                </w:tcPr>
                <w:p>
                  <w:pPr>
                    <w:jc w:val="center"/>
                    <w:rPr>
                      <w:rFonts w:ascii="Times New Roman" w:hAnsi="Times New Roman"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总磷</w:t>
                  </w:r>
                </w:p>
              </w:tc>
              <w:tc>
                <w:tcPr>
                  <w:tcW w:w="2558"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107.9%</w:t>
                  </w:r>
                </w:p>
              </w:tc>
              <w:tc>
                <w:tcPr>
                  <w:tcW w:w="2075"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90%-110%</w:t>
                  </w:r>
                </w:p>
              </w:tc>
              <w:tc>
                <w:tcPr>
                  <w:tcW w:w="1700" w:type="dxa"/>
                  <w:vMerge w:val="restart"/>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4"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2558"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98.5%</w:t>
                  </w:r>
                </w:p>
              </w:tc>
              <w:tc>
                <w:tcPr>
                  <w:tcW w:w="2075" w:type="dxa"/>
                  <w:vMerge w:val="continue"/>
                  <w:tcBorders>
                    <w:tl2br w:val="nil"/>
                    <w:tr2bl w:val="nil"/>
                  </w:tcBorders>
                  <w:vAlign w:val="center"/>
                </w:tcPr>
                <w:p>
                  <w:pPr>
                    <w:jc w:val="center"/>
                    <w:rPr>
                      <w:rFonts w:ascii="Times New Roman" w:hAnsi="Times New Roman" w:cs="Times New Roman"/>
                      <w:color w:val="000000" w:themeColor="text1"/>
                      <w:szCs w:val="21"/>
                    </w:rPr>
                  </w:pPr>
                </w:p>
              </w:tc>
              <w:tc>
                <w:tcPr>
                  <w:tcW w:w="1700" w:type="dxa"/>
                  <w:vMerge w:val="continue"/>
                  <w:tcBorders>
                    <w:tl2br w:val="nil"/>
                    <w:tr2bl w:val="nil"/>
                  </w:tcBorders>
                  <w:vAlign w:val="center"/>
                </w:tcPr>
                <w:p>
                  <w:pPr>
                    <w:jc w:val="center"/>
                    <w:rPr>
                      <w:rFonts w:ascii="Times New Roman" w:hAnsi="Times New Roman" w:cs="Times New Roman"/>
                      <w:color w:val="000000" w:themeColor="text1"/>
                      <w:szCs w:val="21"/>
                    </w:rPr>
                  </w:pPr>
                </w:p>
              </w:tc>
            </w:tr>
          </w:tbl>
          <w:p>
            <w:pPr>
              <w:pStyle w:val="2"/>
              <w:spacing w:line="360" w:lineRule="auto"/>
              <w:jc w:val="both"/>
              <w:rPr>
                <w:rFonts w:hint="default" w:ascii="Times New Roman" w:hAnsi="Times New Roman" w:cs="Times New Roman"/>
                <w:color w:val="000000" w:themeColor="text1"/>
              </w:rPr>
            </w:pPr>
            <w:r>
              <w:rPr>
                <w:rFonts w:hint="default" w:ascii="Times New Roman" w:hAnsi="Times New Roman" w:cs="Times New Roman"/>
                <w:color w:val="000000" w:themeColor="text1"/>
              </w:rPr>
              <w:t>（4）悬</w:t>
            </w:r>
            <w:r>
              <w:rPr>
                <w:rFonts w:hint="default" w:ascii="Times New Roman" w:hAnsi="Times New Roman" w:cs="Times New Roman"/>
                <w:color w:val="000000" w:themeColor="text1"/>
                <w:kern w:val="2"/>
                <w:szCs w:val="24"/>
              </w:rPr>
              <w:t>浮物标准滤膜监测结果表</w:t>
            </w:r>
          </w:p>
          <w:p>
            <w:pPr>
              <w:pStyle w:val="2"/>
              <w:spacing w:line="36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sz w:val="21"/>
                <w:szCs w:val="21"/>
              </w:rPr>
              <w:t xml:space="preserve">表7-4 </w:t>
            </w:r>
            <w:r>
              <w:rPr>
                <w:rFonts w:hint="default" w:ascii="Times New Roman" w:hAnsi="Times New Roman" w:cs="Times New Roman"/>
                <w:b/>
                <w:bCs/>
                <w:color w:val="000000" w:themeColor="text1"/>
                <w:sz w:val="21"/>
                <w:szCs w:val="21"/>
              </w:rPr>
              <w:t>废水悬浮物标准滤膜监测一览表</w:t>
            </w:r>
          </w:p>
          <w:tbl>
            <w:tblPr>
              <w:tblStyle w:val="17"/>
              <w:tblW w:w="82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1241"/>
              <w:gridCol w:w="1192"/>
              <w:gridCol w:w="1214"/>
              <w:gridCol w:w="18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bottom w:val="single" w:color="auto" w:sz="12" w:space="0"/>
                  </w:tcBorders>
                  <w:vAlign w:val="center"/>
                </w:tcPr>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标准滤膜编号</w:t>
                  </w:r>
                </w:p>
              </w:tc>
              <w:tc>
                <w:tcPr>
                  <w:tcW w:w="1241" w:type="dxa"/>
                  <w:tcBorders>
                    <w:bottom w:val="single" w:color="auto" w:sz="12" w:space="0"/>
                  </w:tcBorders>
                  <w:vAlign w:val="center"/>
                </w:tcPr>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标准滤膜1</w:t>
                  </w:r>
                </w:p>
              </w:tc>
              <w:tc>
                <w:tcPr>
                  <w:tcW w:w="1192" w:type="dxa"/>
                  <w:tcBorders>
                    <w:bottom w:val="single" w:color="auto" w:sz="12" w:space="0"/>
                  </w:tcBorders>
                  <w:vAlign w:val="center"/>
                </w:tcPr>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标准滤膜2</w:t>
                  </w:r>
                </w:p>
              </w:tc>
              <w:tc>
                <w:tcPr>
                  <w:tcW w:w="1214" w:type="dxa"/>
                  <w:tcBorders>
                    <w:bottom w:val="single" w:color="auto" w:sz="12" w:space="0"/>
                  </w:tcBorders>
                  <w:vAlign w:val="center"/>
                </w:tcPr>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标准滤膜3</w:t>
                  </w:r>
                </w:p>
              </w:tc>
              <w:tc>
                <w:tcPr>
                  <w:tcW w:w="1893" w:type="dxa"/>
                  <w:tcBorders>
                    <w:bottom w:val="single" w:color="auto" w:sz="12" w:space="0"/>
                  </w:tcBorders>
                  <w:vAlign w:val="center"/>
                </w:tcPr>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top w:val="single" w:color="auto" w:sz="12" w:space="0"/>
                    <w:tl2br w:val="nil"/>
                    <w:tr2bl w:val="nil"/>
                  </w:tcBorders>
                  <w:vAlign w:val="center"/>
                </w:tcPr>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color w:val="000000" w:themeColor="text1"/>
                      <w:sz w:val="21"/>
                      <w:szCs w:val="21"/>
                    </w:rPr>
                    <w:t>标准滤膜与空白滤膜平衡24小时后称重W1(g)</w:t>
                  </w:r>
                </w:p>
              </w:tc>
              <w:tc>
                <w:tcPr>
                  <w:tcW w:w="1241" w:type="dxa"/>
                  <w:tcBorders>
                    <w:top w:val="single" w:color="auto" w:sz="12" w:space="0"/>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46.3129</w:t>
                  </w:r>
                </w:p>
              </w:tc>
              <w:tc>
                <w:tcPr>
                  <w:tcW w:w="1192" w:type="dxa"/>
                  <w:tcBorders>
                    <w:top w:val="single" w:color="auto" w:sz="12" w:space="0"/>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44.138</w:t>
                  </w:r>
                </w:p>
              </w:tc>
              <w:tc>
                <w:tcPr>
                  <w:tcW w:w="1214" w:type="dxa"/>
                  <w:tcBorders>
                    <w:top w:val="single" w:color="auto" w:sz="12" w:space="0"/>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47.5417</w:t>
                  </w:r>
                </w:p>
              </w:tc>
              <w:tc>
                <w:tcPr>
                  <w:tcW w:w="1893" w:type="dxa"/>
                  <w:vMerge w:val="restart"/>
                  <w:tcBorders>
                    <w:top w:val="single" w:color="auto" w:sz="12" w:space="0"/>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质量控制要求：</w:t>
                  </w:r>
                </w:p>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︳W1-W2︳</w:t>
                  </w:r>
                </w:p>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color w:val="000000" w:themeColor="text1"/>
                      <w:sz w:val="21"/>
                      <w:szCs w:val="21"/>
                    </w:rPr>
                    <w:t>≦0.2 mg，则本批样品滤膜称量合格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tl2br w:val="nil"/>
                    <w:tr2bl w:val="nil"/>
                  </w:tcBorders>
                  <w:vAlign w:val="center"/>
                </w:tcPr>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color w:val="000000" w:themeColor="text1"/>
                      <w:sz w:val="21"/>
                      <w:szCs w:val="21"/>
                    </w:rPr>
                    <w:t>标准滤膜与样品滤膜平衡24小时后称重W2(g)</w:t>
                  </w:r>
                </w:p>
              </w:tc>
              <w:tc>
                <w:tcPr>
                  <w:tcW w:w="1241" w:type="dxa"/>
                  <w:tcBorders>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46.3130</w:t>
                  </w:r>
                </w:p>
              </w:tc>
              <w:tc>
                <w:tcPr>
                  <w:tcW w:w="1192" w:type="dxa"/>
                  <w:tcBorders>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44.1139</w:t>
                  </w:r>
                </w:p>
              </w:tc>
              <w:tc>
                <w:tcPr>
                  <w:tcW w:w="1214" w:type="dxa"/>
                  <w:tcBorders>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47.5418</w:t>
                  </w:r>
                </w:p>
              </w:tc>
              <w:tc>
                <w:tcPr>
                  <w:tcW w:w="1893" w:type="dxa"/>
                  <w:vMerge w:val="continue"/>
                  <w:tcBorders>
                    <w:tl2br w:val="nil"/>
                    <w:tr2bl w:val="nil"/>
                  </w:tcBorders>
                  <w:vAlign w:val="center"/>
                </w:tcPr>
                <w:p>
                  <w:pPr>
                    <w:pStyle w:val="2"/>
                    <w:spacing w:line="300" w:lineRule="auto"/>
                    <w:jc w:val="center"/>
                    <w:rPr>
                      <w:rFonts w:hint="default" w:ascii="Times New Roman" w:hAnsi="Times New Roman" w:cs="Times New Roman"/>
                      <w:b/>
                      <w:bCs/>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tl2br w:val="nil"/>
                    <w:tr2bl w:val="nil"/>
                  </w:tcBorders>
                  <w:vAlign w:val="center"/>
                </w:tcPr>
                <w:p>
                  <w:pPr>
                    <w:pStyle w:val="2"/>
                    <w:spacing w:line="30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color w:val="000000" w:themeColor="text1"/>
                      <w:sz w:val="21"/>
                      <w:szCs w:val="21"/>
                    </w:rPr>
                    <w:t>标准滤膜两次称重差值（mg）</w:t>
                  </w:r>
                </w:p>
              </w:tc>
              <w:tc>
                <w:tcPr>
                  <w:tcW w:w="1241" w:type="dxa"/>
                  <w:tcBorders>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0.1</w:t>
                  </w:r>
                </w:p>
              </w:tc>
              <w:tc>
                <w:tcPr>
                  <w:tcW w:w="1192" w:type="dxa"/>
                  <w:tcBorders>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0.1</w:t>
                  </w:r>
                </w:p>
              </w:tc>
              <w:tc>
                <w:tcPr>
                  <w:tcW w:w="1214" w:type="dxa"/>
                  <w:tcBorders>
                    <w:tl2br w:val="nil"/>
                    <w:tr2bl w:val="nil"/>
                  </w:tcBorders>
                  <w:vAlign w:val="center"/>
                </w:tcPr>
                <w:p>
                  <w:pPr>
                    <w:pStyle w:val="2"/>
                    <w:spacing w:line="30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0.1</w:t>
                  </w:r>
                </w:p>
              </w:tc>
              <w:tc>
                <w:tcPr>
                  <w:tcW w:w="1893" w:type="dxa"/>
                  <w:vMerge w:val="continue"/>
                  <w:tcBorders>
                    <w:tl2br w:val="nil"/>
                    <w:tr2bl w:val="nil"/>
                  </w:tcBorders>
                  <w:vAlign w:val="center"/>
                </w:tcPr>
                <w:p>
                  <w:pPr>
                    <w:pStyle w:val="2"/>
                    <w:spacing w:line="300" w:lineRule="auto"/>
                    <w:jc w:val="center"/>
                    <w:rPr>
                      <w:rFonts w:hint="default" w:ascii="Times New Roman" w:hAnsi="Times New Roman" w:cs="Times New Roman"/>
                      <w:b/>
                      <w:bCs/>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82"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结论</w:t>
                  </w:r>
                </w:p>
              </w:tc>
              <w:tc>
                <w:tcPr>
                  <w:tcW w:w="1241"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192"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214"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893" w:type="dxa"/>
                  <w:vMerge w:val="continue"/>
                  <w:tcBorders>
                    <w:tl2br w:val="nil"/>
                    <w:tr2bl w:val="nil"/>
                  </w:tcBorders>
                  <w:vAlign w:val="center"/>
                </w:tcPr>
                <w:p>
                  <w:pPr>
                    <w:pStyle w:val="2"/>
                    <w:spacing w:line="300" w:lineRule="auto"/>
                    <w:jc w:val="center"/>
                    <w:rPr>
                      <w:rFonts w:hint="default" w:ascii="Times New Roman" w:hAnsi="Times New Roman" w:cs="Times New Roman"/>
                      <w:b/>
                      <w:bCs/>
                      <w:color w:val="000000" w:themeColor="text1"/>
                      <w:sz w:val="21"/>
                      <w:szCs w:val="21"/>
                    </w:rPr>
                  </w:pPr>
                </w:p>
              </w:tc>
            </w:tr>
          </w:tbl>
          <w:p>
            <w:pPr>
              <w:pStyle w:val="2"/>
              <w:tabs>
                <w:tab w:val="left" w:pos="2631"/>
                <w:tab w:val="left" w:pos="5747"/>
              </w:tabs>
              <w:spacing w:line="360" w:lineRule="auto"/>
              <w:jc w:val="both"/>
              <w:rPr>
                <w:rFonts w:hint="default" w:ascii="Times New Roman" w:hAnsi="Times New Roman" w:cs="Times New Roman"/>
                <w:b/>
                <w:bCs/>
                <w:color w:val="000000" w:themeColor="text1"/>
                <w:kern w:val="2"/>
                <w:szCs w:val="24"/>
              </w:rPr>
            </w:pPr>
            <w:r>
              <w:rPr>
                <w:rFonts w:hint="default" w:ascii="Times New Roman" w:hAnsi="Times New Roman" w:cs="Times New Roman"/>
                <w:b/>
                <w:bCs/>
                <w:color w:val="000000" w:themeColor="text1"/>
                <w:kern w:val="2"/>
                <w:szCs w:val="24"/>
              </w:rPr>
              <w:t>7.2.2、废气</w:t>
            </w:r>
          </w:p>
          <w:p>
            <w:pPr>
              <w:pStyle w:val="2"/>
              <w:numPr>
                <w:ilvl w:val="0"/>
                <w:numId w:val="3"/>
              </w:numPr>
              <w:spacing w:line="360" w:lineRule="auto"/>
              <w:jc w:val="both"/>
              <w:rPr>
                <w:rFonts w:hint="default" w:ascii="Times New Roman" w:hAnsi="Times New Roman" w:cs="Times New Roman"/>
              </w:rPr>
            </w:pPr>
            <w:r>
              <w:rPr>
                <w:rFonts w:hint="default" w:ascii="Times New Roman" w:hAnsi="Times New Roman" w:cs="Times New Roman"/>
              </w:rPr>
              <w:t>无组织排放标准滤膜监测结果表</w:t>
            </w:r>
          </w:p>
          <w:p>
            <w:pPr>
              <w:pStyle w:val="2"/>
              <w:spacing w:line="360" w:lineRule="auto"/>
              <w:jc w:val="center"/>
              <w:rPr>
                <w:rFonts w:hint="default" w:ascii="Times New Roman" w:hAnsi="Times New Roman" w:cs="Times New Roman"/>
              </w:rPr>
            </w:pPr>
            <w:r>
              <w:rPr>
                <w:rFonts w:hint="default" w:ascii="Times New Roman" w:hAnsi="Times New Roman" w:cs="Times New Roman"/>
                <w:b/>
                <w:bCs/>
                <w:sz w:val="21"/>
                <w:szCs w:val="21"/>
              </w:rPr>
              <w:t>表7-5 颗粒物标准滤膜监测一览表</w:t>
            </w:r>
          </w:p>
          <w:tbl>
            <w:tblPr>
              <w:tblStyle w:val="16"/>
              <w:tblW w:w="83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1255"/>
              <w:gridCol w:w="1213"/>
              <w:gridCol w:w="1269"/>
              <w:gridCol w:w="1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bottom w:val="single" w:color="auto" w:sz="12" w:space="0"/>
                  </w:tcBorders>
                  <w:vAlign w:val="center"/>
                </w:tcPr>
                <w:p>
                  <w:pPr>
                    <w:pStyle w:val="2"/>
                    <w:spacing w:line="276"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标准滤料编号</w:t>
                  </w:r>
                </w:p>
              </w:tc>
              <w:tc>
                <w:tcPr>
                  <w:tcW w:w="1255" w:type="dxa"/>
                  <w:tcBorders>
                    <w:bottom w:val="single" w:color="auto" w:sz="12" w:space="0"/>
                  </w:tcBorders>
                  <w:vAlign w:val="center"/>
                </w:tcPr>
                <w:p>
                  <w:pPr>
                    <w:pStyle w:val="2"/>
                    <w:spacing w:line="276"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标准滤料1</w:t>
                  </w:r>
                </w:p>
              </w:tc>
              <w:tc>
                <w:tcPr>
                  <w:tcW w:w="1213" w:type="dxa"/>
                  <w:tcBorders>
                    <w:bottom w:val="single" w:color="auto" w:sz="12" w:space="0"/>
                  </w:tcBorders>
                  <w:vAlign w:val="center"/>
                </w:tcPr>
                <w:p>
                  <w:pPr>
                    <w:pStyle w:val="2"/>
                    <w:spacing w:line="276"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标准滤料2</w:t>
                  </w:r>
                </w:p>
              </w:tc>
              <w:tc>
                <w:tcPr>
                  <w:tcW w:w="1269" w:type="dxa"/>
                  <w:tcBorders>
                    <w:bottom w:val="single" w:color="auto" w:sz="12" w:space="0"/>
                  </w:tcBorders>
                  <w:vAlign w:val="center"/>
                </w:tcPr>
                <w:p>
                  <w:pPr>
                    <w:spacing w:line="276" w:lineRule="auto"/>
                    <w:jc w:val="center"/>
                    <w:rPr>
                      <w:rFonts w:ascii="Times New Roman" w:hAnsi="Times New Roman" w:cs="Times New Roman"/>
                      <w:b/>
                      <w:bCs/>
                      <w:color w:val="000000" w:themeColor="text1"/>
                      <w:kern w:val="0"/>
                      <w:szCs w:val="21"/>
                    </w:rPr>
                  </w:pPr>
                  <w:r>
                    <w:rPr>
                      <w:rFonts w:ascii="Times New Roman" w:hAnsi="Times New Roman" w:cs="Times New Roman"/>
                      <w:b/>
                      <w:bCs/>
                      <w:color w:val="000000" w:themeColor="text1"/>
                      <w:szCs w:val="21"/>
                    </w:rPr>
                    <w:t>标准滤料3</w:t>
                  </w:r>
                </w:p>
              </w:tc>
              <w:tc>
                <w:tcPr>
                  <w:tcW w:w="1889" w:type="dxa"/>
                  <w:tcBorders>
                    <w:bottom w:val="single" w:color="auto" w:sz="12" w:space="0"/>
                  </w:tcBorders>
                  <w:vAlign w:val="bottom"/>
                </w:tcPr>
                <w:p>
                  <w:pPr>
                    <w:jc w:val="center"/>
                    <w:rPr>
                      <w:rFonts w:ascii="Times New Roman" w:hAnsi="Times New Roman" w:cs="Times New Roman"/>
                      <w:b/>
                      <w:bCs/>
                      <w:szCs w:val="21"/>
                    </w:rPr>
                  </w:pPr>
                  <w:r>
                    <w:rPr>
                      <w:rFonts w:ascii="Times New Roman" w:hAnsi="Times New Roman"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top w:val="single" w:color="auto" w:sz="12" w:space="0"/>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标准滤膜与空白滤膜平衡24小时后称重(g)</w:t>
                  </w:r>
                </w:p>
              </w:tc>
              <w:tc>
                <w:tcPr>
                  <w:tcW w:w="1255" w:type="dxa"/>
                  <w:tcBorders>
                    <w:top w:val="single" w:color="auto" w:sz="12" w:space="0"/>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0.4266</w:t>
                  </w:r>
                </w:p>
              </w:tc>
              <w:tc>
                <w:tcPr>
                  <w:tcW w:w="1213" w:type="dxa"/>
                  <w:tcBorders>
                    <w:top w:val="single" w:color="auto" w:sz="12" w:space="0"/>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0.4309</w:t>
                  </w:r>
                </w:p>
              </w:tc>
              <w:tc>
                <w:tcPr>
                  <w:tcW w:w="1269" w:type="dxa"/>
                  <w:tcBorders>
                    <w:top w:val="single" w:color="auto" w:sz="12" w:space="0"/>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0.4239</w:t>
                  </w:r>
                </w:p>
              </w:tc>
              <w:tc>
                <w:tcPr>
                  <w:tcW w:w="1889" w:type="dxa"/>
                  <w:vMerge w:val="restart"/>
                  <w:tcBorders>
                    <w:top w:val="single" w:color="auto" w:sz="12" w:space="0"/>
                    <w:tl2br w:val="nil"/>
                    <w:tr2bl w:val="nil"/>
                  </w:tcBorders>
                  <w:vAlign w:val="center"/>
                </w:tcPr>
                <w:p>
                  <w:pPr>
                    <w:pStyle w:val="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标准滤膜称重在原始重量±5mg（大流量采样）或±0.5mg（中流量采样）范围内，则本批样品滤膜称量合格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标准滤膜与样品滤膜平衡24小时后称重(g)</w:t>
                  </w:r>
                </w:p>
              </w:tc>
              <w:tc>
                <w:tcPr>
                  <w:tcW w:w="1255"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0.4264</w:t>
                  </w:r>
                </w:p>
              </w:tc>
              <w:tc>
                <w:tcPr>
                  <w:tcW w:w="1213"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0.4307</w:t>
                  </w:r>
                </w:p>
              </w:tc>
              <w:tc>
                <w:tcPr>
                  <w:tcW w:w="1269"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0.4235</w:t>
                  </w:r>
                </w:p>
              </w:tc>
              <w:tc>
                <w:tcPr>
                  <w:tcW w:w="1889" w:type="dxa"/>
                  <w:vMerge w:val="continue"/>
                  <w:tcBorders>
                    <w:tl2br w:val="nil"/>
                    <w:tr2bl w:val="nil"/>
                  </w:tcBorders>
                </w:tcPr>
                <w:p>
                  <w:pPr>
                    <w:ind w:firstLine="420" w:firstLineChars="20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标准滤膜两次称重差值（mg）</w:t>
                  </w:r>
                </w:p>
              </w:tc>
              <w:tc>
                <w:tcPr>
                  <w:tcW w:w="1255"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w:t>
                  </w:r>
                </w:p>
              </w:tc>
              <w:tc>
                <w:tcPr>
                  <w:tcW w:w="1213"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w:t>
                  </w:r>
                </w:p>
              </w:tc>
              <w:tc>
                <w:tcPr>
                  <w:tcW w:w="1269"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w:t>
                  </w:r>
                </w:p>
              </w:tc>
              <w:tc>
                <w:tcPr>
                  <w:tcW w:w="1889" w:type="dxa"/>
                  <w:vMerge w:val="continue"/>
                  <w:tcBorders>
                    <w:tl2br w:val="nil"/>
                    <w:tr2bl w:val="nil"/>
                  </w:tcBorders>
                </w:tcPr>
                <w:p>
                  <w:pPr>
                    <w:ind w:firstLine="420" w:firstLineChars="20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结论</w:t>
                  </w:r>
                </w:p>
              </w:tc>
              <w:tc>
                <w:tcPr>
                  <w:tcW w:w="1255"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213"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269"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889" w:type="dxa"/>
                  <w:vMerge w:val="continue"/>
                  <w:tcBorders>
                    <w:tl2br w:val="nil"/>
                    <w:tr2bl w:val="nil"/>
                  </w:tcBorders>
                </w:tcPr>
                <w:p>
                  <w:pPr>
                    <w:ind w:firstLine="420" w:firstLineChars="200"/>
                    <w:jc w:val="left"/>
                    <w:rPr>
                      <w:rFonts w:ascii="Times New Roman" w:hAnsi="Times New Roman" w:cs="Times New Roman"/>
                      <w:szCs w:val="21"/>
                    </w:rPr>
                  </w:pPr>
                </w:p>
              </w:tc>
            </w:tr>
          </w:tbl>
          <w:p>
            <w:pPr>
              <w:pStyle w:val="2"/>
              <w:numPr>
                <w:ilvl w:val="0"/>
                <w:numId w:val="3"/>
              </w:numPr>
              <w:spacing w:line="360" w:lineRule="auto"/>
              <w:jc w:val="both"/>
              <w:rPr>
                <w:rFonts w:hint="default" w:ascii="Times New Roman" w:hAnsi="Times New Roman" w:cs="Times New Roman"/>
              </w:rPr>
            </w:pPr>
            <w:r>
              <w:rPr>
                <w:rFonts w:hint="default" w:ascii="Times New Roman" w:hAnsi="Times New Roman" w:cs="Times New Roman"/>
              </w:rPr>
              <w:t>有组织排放标准滤膜监测结果表</w:t>
            </w:r>
          </w:p>
          <w:p>
            <w:pPr>
              <w:pStyle w:val="2"/>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表7-6  颗粒物标准滤膜监测一览表</w:t>
            </w:r>
          </w:p>
          <w:tbl>
            <w:tblPr>
              <w:tblStyle w:val="16"/>
              <w:tblW w:w="83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1255"/>
              <w:gridCol w:w="1213"/>
              <w:gridCol w:w="1269"/>
              <w:gridCol w:w="1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bottom w:val="single" w:color="auto" w:sz="12" w:space="0"/>
                  </w:tcBorders>
                  <w:vAlign w:val="center"/>
                </w:tcPr>
                <w:p>
                  <w:pPr>
                    <w:pStyle w:val="2"/>
                    <w:spacing w:line="276"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标准滤料编号</w:t>
                  </w:r>
                </w:p>
              </w:tc>
              <w:tc>
                <w:tcPr>
                  <w:tcW w:w="1255" w:type="dxa"/>
                  <w:tcBorders>
                    <w:bottom w:val="single" w:color="auto" w:sz="12" w:space="0"/>
                  </w:tcBorders>
                  <w:vAlign w:val="center"/>
                </w:tcPr>
                <w:p>
                  <w:pPr>
                    <w:pStyle w:val="2"/>
                    <w:spacing w:line="276"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标准滤料1</w:t>
                  </w:r>
                </w:p>
              </w:tc>
              <w:tc>
                <w:tcPr>
                  <w:tcW w:w="1213" w:type="dxa"/>
                  <w:tcBorders>
                    <w:bottom w:val="single" w:color="auto" w:sz="12" w:space="0"/>
                  </w:tcBorders>
                  <w:vAlign w:val="center"/>
                </w:tcPr>
                <w:p>
                  <w:pPr>
                    <w:pStyle w:val="2"/>
                    <w:spacing w:line="276"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标准滤料2</w:t>
                  </w:r>
                </w:p>
              </w:tc>
              <w:tc>
                <w:tcPr>
                  <w:tcW w:w="1269" w:type="dxa"/>
                  <w:tcBorders>
                    <w:bottom w:val="single" w:color="auto" w:sz="12" w:space="0"/>
                  </w:tcBorders>
                  <w:vAlign w:val="center"/>
                </w:tcPr>
                <w:p>
                  <w:pPr>
                    <w:spacing w:line="276" w:lineRule="auto"/>
                    <w:jc w:val="center"/>
                    <w:rPr>
                      <w:rFonts w:ascii="Times New Roman" w:hAnsi="Times New Roman" w:cs="Times New Roman"/>
                      <w:b/>
                      <w:bCs/>
                      <w:color w:val="000000" w:themeColor="text1"/>
                      <w:kern w:val="0"/>
                      <w:szCs w:val="21"/>
                    </w:rPr>
                  </w:pPr>
                  <w:r>
                    <w:rPr>
                      <w:rFonts w:ascii="Times New Roman" w:hAnsi="Times New Roman" w:cs="Times New Roman"/>
                      <w:b/>
                      <w:bCs/>
                      <w:color w:val="000000" w:themeColor="text1"/>
                      <w:szCs w:val="21"/>
                    </w:rPr>
                    <w:t>标准滤料3</w:t>
                  </w:r>
                </w:p>
              </w:tc>
              <w:tc>
                <w:tcPr>
                  <w:tcW w:w="1889" w:type="dxa"/>
                  <w:tcBorders>
                    <w:bottom w:val="single" w:color="auto" w:sz="12" w:space="0"/>
                  </w:tcBorders>
                  <w:vAlign w:val="bottom"/>
                </w:tcPr>
                <w:p>
                  <w:pPr>
                    <w:jc w:val="center"/>
                    <w:rPr>
                      <w:rFonts w:ascii="Times New Roman" w:hAnsi="Times New Roman" w:cs="Times New Roman"/>
                      <w:b/>
                      <w:bCs/>
                      <w:szCs w:val="21"/>
                    </w:rPr>
                  </w:pPr>
                  <w:r>
                    <w:rPr>
                      <w:rFonts w:ascii="Times New Roman" w:hAnsi="Times New Roman" w:cs="Times New Roman"/>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top w:val="single" w:color="auto" w:sz="12" w:space="0"/>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标准滤膜与空白滤膜平衡24小时后称重(g)</w:t>
                  </w:r>
                </w:p>
              </w:tc>
              <w:tc>
                <w:tcPr>
                  <w:tcW w:w="1255" w:type="dxa"/>
                  <w:tcBorders>
                    <w:top w:val="single" w:color="auto" w:sz="12" w:space="0"/>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12.94538</w:t>
                  </w:r>
                </w:p>
              </w:tc>
              <w:tc>
                <w:tcPr>
                  <w:tcW w:w="1213" w:type="dxa"/>
                  <w:tcBorders>
                    <w:top w:val="single" w:color="auto" w:sz="12" w:space="0"/>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12.95489</w:t>
                  </w:r>
                </w:p>
              </w:tc>
              <w:tc>
                <w:tcPr>
                  <w:tcW w:w="1269" w:type="dxa"/>
                  <w:tcBorders>
                    <w:top w:val="single" w:color="auto" w:sz="12" w:space="0"/>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12.96574</w:t>
                  </w:r>
                </w:p>
              </w:tc>
              <w:tc>
                <w:tcPr>
                  <w:tcW w:w="1889" w:type="dxa"/>
                  <w:vMerge w:val="restart"/>
                  <w:tcBorders>
                    <w:top w:val="single" w:color="auto" w:sz="12" w:space="0"/>
                    <w:tl2br w:val="nil"/>
                    <w:tr2bl w:val="nil"/>
                  </w:tcBorders>
                  <w:vAlign w:val="center"/>
                </w:tcPr>
                <w:p>
                  <w:pPr>
                    <w:pStyle w:val="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标准滤膜称重在原始重量±5mg（大流量采样）或±0.2mg（中流量采样）范围内，则本批样品滤膜称量合格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tl2br w:val="nil"/>
                    <w:tr2bl w:val="nil"/>
                  </w:tcBorders>
                  <w:vAlign w:val="center"/>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标准滤膜与样品滤膜平衡24小时后称重(g)</w:t>
                  </w:r>
                </w:p>
              </w:tc>
              <w:tc>
                <w:tcPr>
                  <w:tcW w:w="1255"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12.94533</w:t>
                  </w:r>
                </w:p>
              </w:tc>
              <w:tc>
                <w:tcPr>
                  <w:tcW w:w="1213"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12.95480</w:t>
                  </w:r>
                </w:p>
              </w:tc>
              <w:tc>
                <w:tcPr>
                  <w:tcW w:w="1269" w:type="dxa"/>
                  <w:tcBorders>
                    <w:tl2br w:val="nil"/>
                    <w:tr2bl w:val="nil"/>
                  </w:tcBorders>
                  <w:vAlign w:val="center"/>
                </w:tcPr>
                <w:p>
                  <w:pPr>
                    <w:pStyle w:val="2"/>
                    <w:spacing w:line="276" w:lineRule="auto"/>
                    <w:ind w:firstLine="210" w:firstLineChars="100"/>
                    <w:jc w:val="both"/>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12.96566</w:t>
                  </w:r>
                </w:p>
              </w:tc>
              <w:tc>
                <w:tcPr>
                  <w:tcW w:w="1889" w:type="dxa"/>
                  <w:vMerge w:val="continue"/>
                  <w:tcBorders>
                    <w:tl2br w:val="nil"/>
                    <w:tr2bl w:val="nil"/>
                  </w:tcBorders>
                </w:tcPr>
                <w:p>
                  <w:pPr>
                    <w:ind w:firstLine="420" w:firstLineChars="20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标准滤膜两次称重差值（mg）</w:t>
                  </w:r>
                </w:p>
              </w:tc>
              <w:tc>
                <w:tcPr>
                  <w:tcW w:w="1255"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0.05</w:t>
                  </w:r>
                </w:p>
              </w:tc>
              <w:tc>
                <w:tcPr>
                  <w:tcW w:w="1213"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0.09</w:t>
                  </w:r>
                </w:p>
              </w:tc>
              <w:tc>
                <w:tcPr>
                  <w:tcW w:w="1269"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0.08</w:t>
                  </w:r>
                </w:p>
              </w:tc>
              <w:tc>
                <w:tcPr>
                  <w:tcW w:w="1889" w:type="dxa"/>
                  <w:vMerge w:val="continue"/>
                  <w:tcBorders>
                    <w:tl2br w:val="nil"/>
                    <w:tr2bl w:val="nil"/>
                  </w:tcBorders>
                </w:tcPr>
                <w:p>
                  <w:pPr>
                    <w:ind w:firstLine="420" w:firstLineChars="200"/>
                    <w:jc w:val="left"/>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1"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结论</w:t>
                  </w:r>
                </w:p>
              </w:tc>
              <w:tc>
                <w:tcPr>
                  <w:tcW w:w="1255"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213"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269" w:type="dxa"/>
                  <w:tcBorders>
                    <w:tl2br w:val="nil"/>
                    <w:tr2bl w:val="nil"/>
                  </w:tcBorders>
                  <w:vAlign w:val="center"/>
                </w:tcPr>
                <w:p>
                  <w:pPr>
                    <w:pStyle w:val="2"/>
                    <w:spacing w:line="276"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符合要求</w:t>
                  </w:r>
                </w:p>
              </w:tc>
              <w:tc>
                <w:tcPr>
                  <w:tcW w:w="1889" w:type="dxa"/>
                  <w:vMerge w:val="continue"/>
                  <w:tcBorders>
                    <w:tl2br w:val="nil"/>
                    <w:tr2bl w:val="nil"/>
                  </w:tcBorders>
                </w:tcPr>
                <w:p>
                  <w:pPr>
                    <w:ind w:firstLine="420" w:firstLineChars="200"/>
                    <w:jc w:val="left"/>
                    <w:rPr>
                      <w:rFonts w:ascii="Times New Roman" w:hAnsi="Times New Roman" w:cs="Times New Roman"/>
                      <w:szCs w:val="21"/>
                    </w:rPr>
                  </w:pPr>
                </w:p>
              </w:tc>
            </w:tr>
          </w:tbl>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r>
              <w:rPr>
                <w:rFonts w:hint="default" w:ascii="Times New Roman" w:hAnsi="Times New Roman" w:cs="Times New Roman"/>
                <w:b/>
                <w:bCs/>
                <w:kern w:val="2"/>
                <w:szCs w:val="24"/>
              </w:rPr>
              <w:t>7.2.3、噪声</w:t>
            </w:r>
          </w:p>
          <w:p>
            <w:pPr>
              <w:ind w:right="360"/>
              <w:rPr>
                <w:rFonts w:ascii="Times New Roman" w:hAnsi="Times New Roman" w:cs="Times New Roman" w:eastAsiaTheme="minorEastAsia"/>
                <w:color w:val="000000" w:themeColor="text1"/>
                <w:sz w:val="18"/>
              </w:rPr>
            </w:pPr>
            <w:r>
              <w:rPr>
                <w:rFonts w:ascii="Times New Roman" w:hAnsi="Times New Roman" w:cs="Times New Roman"/>
                <w:b/>
                <w:bCs/>
                <w:color w:val="000000"/>
                <w:kern w:val="0"/>
                <w:szCs w:val="21"/>
              </w:rPr>
              <w:t>表7-7</w:t>
            </w:r>
            <w:r>
              <w:rPr>
                <w:rFonts w:ascii="Times New Roman" w:hAnsi="Times New Roman" w:cs="Times New Roman" w:eastAsiaTheme="minorEastAsia"/>
                <w:b/>
                <w:bCs/>
                <w:color w:val="000000" w:themeColor="text1"/>
                <w:szCs w:val="21"/>
              </w:rPr>
              <w:t>噪声监测仪校准结果（标准声源：94.0dB单位：dB（A））</w:t>
            </w:r>
          </w:p>
          <w:tbl>
            <w:tblPr>
              <w:tblStyle w:val="16"/>
              <w:tblW w:w="839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43"/>
              <w:gridCol w:w="1038"/>
              <w:gridCol w:w="1039"/>
              <w:gridCol w:w="1069"/>
              <w:gridCol w:w="1069"/>
              <w:gridCol w:w="22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943"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2077" w:type="dxa"/>
                  <w:gridSpan w:val="2"/>
                  <w:vAlign w:val="bottom"/>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5月17日</w:t>
                  </w:r>
                </w:p>
              </w:tc>
              <w:tc>
                <w:tcPr>
                  <w:tcW w:w="2138" w:type="dxa"/>
                  <w:gridSpan w:val="2"/>
                  <w:vAlign w:val="bottom"/>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5月18日</w:t>
                  </w:r>
                </w:p>
              </w:tc>
              <w:tc>
                <w:tcPr>
                  <w:tcW w:w="2233" w:type="dxa"/>
                  <w:vMerge w:val="restart"/>
                  <w:tcBorders>
                    <w:tl2br w:val="nil"/>
                    <w:tr2bl w:val="nil"/>
                  </w:tcBorders>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噪声仪在使用前后用声校准器校准，校准读数偏差不大于0.5分贝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943" w:type="dxa"/>
                  <w:vMerge w:val="continue"/>
                  <w:tcBorders>
                    <w:bottom w:val="single" w:color="auto" w:sz="12" w:space="0"/>
                  </w:tcBorders>
                  <w:vAlign w:val="bottom"/>
                </w:tcPr>
                <w:p>
                  <w:pPr>
                    <w:pStyle w:val="2"/>
                    <w:jc w:val="center"/>
                    <w:rPr>
                      <w:rFonts w:hint="default" w:ascii="Times New Roman" w:hAnsi="Times New Roman" w:cs="Times New Roman"/>
                      <w:color w:val="auto"/>
                      <w:sz w:val="21"/>
                      <w:szCs w:val="21"/>
                    </w:rPr>
                  </w:pPr>
                </w:p>
              </w:tc>
              <w:tc>
                <w:tcPr>
                  <w:tcW w:w="1038" w:type="dxa"/>
                  <w:tcBorders>
                    <w:bottom w:val="single" w:color="auto" w:sz="12" w:space="0"/>
                  </w:tcBorders>
                  <w:vAlign w:val="bottom"/>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昼间</w:t>
                  </w:r>
                </w:p>
              </w:tc>
              <w:tc>
                <w:tcPr>
                  <w:tcW w:w="1039" w:type="dxa"/>
                  <w:tcBorders>
                    <w:bottom w:val="single" w:color="auto" w:sz="12" w:space="0"/>
                  </w:tcBorders>
                  <w:vAlign w:val="bottom"/>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夜间</w:t>
                  </w:r>
                </w:p>
              </w:tc>
              <w:tc>
                <w:tcPr>
                  <w:tcW w:w="1069" w:type="dxa"/>
                  <w:tcBorders>
                    <w:bottom w:val="single" w:color="auto" w:sz="12" w:space="0"/>
                  </w:tcBorders>
                  <w:vAlign w:val="bottom"/>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昼间</w:t>
                  </w:r>
                </w:p>
              </w:tc>
              <w:tc>
                <w:tcPr>
                  <w:tcW w:w="1069" w:type="dxa"/>
                  <w:tcBorders>
                    <w:bottom w:val="single" w:color="auto" w:sz="12" w:space="0"/>
                  </w:tcBorders>
                  <w:vAlign w:val="bottom"/>
                </w:tcPr>
                <w:p>
                  <w:pPr>
                    <w:pStyle w:val="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夜间</w:t>
                  </w:r>
                </w:p>
              </w:tc>
              <w:tc>
                <w:tcPr>
                  <w:tcW w:w="2233" w:type="dxa"/>
                  <w:vMerge w:val="continue"/>
                  <w:tcBorders>
                    <w:tl2br w:val="nil"/>
                    <w:tr2bl w:val="nil"/>
                  </w:tcBorders>
                  <w:vAlign w:val="bottom"/>
                </w:tcPr>
                <w:p>
                  <w:pPr>
                    <w:pStyle w:val="2"/>
                    <w:jc w:val="center"/>
                    <w:rPr>
                      <w:rFonts w:hint="default" w:ascii="Times New Roman" w:hAns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943" w:type="dxa"/>
                  <w:tcBorders>
                    <w:top w:val="single" w:color="auto" w:sz="12" w:space="0"/>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监测前测定结果</w:t>
                  </w:r>
                </w:p>
              </w:tc>
              <w:tc>
                <w:tcPr>
                  <w:tcW w:w="1038" w:type="dxa"/>
                  <w:tcBorders>
                    <w:top w:val="single" w:color="auto" w:sz="12" w:space="0"/>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94.0</w:t>
                  </w:r>
                </w:p>
              </w:tc>
              <w:tc>
                <w:tcPr>
                  <w:tcW w:w="1039" w:type="dxa"/>
                  <w:tcBorders>
                    <w:top w:val="single" w:color="auto" w:sz="12" w:space="0"/>
                    <w:tl2br w:val="nil"/>
                    <w:tr2bl w:val="nil"/>
                  </w:tcBorders>
                  <w:vAlign w:val="bottom"/>
                </w:tcPr>
                <w:p>
                  <w:pPr>
                    <w:pStyle w:val="2"/>
                    <w:ind w:firstLine="210" w:firstLineChars="1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94.0</w:t>
                  </w:r>
                </w:p>
              </w:tc>
              <w:tc>
                <w:tcPr>
                  <w:tcW w:w="1069" w:type="dxa"/>
                  <w:tcBorders>
                    <w:top w:val="single" w:color="auto" w:sz="12" w:space="0"/>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94.0</w:t>
                  </w:r>
                </w:p>
              </w:tc>
              <w:tc>
                <w:tcPr>
                  <w:tcW w:w="1069" w:type="dxa"/>
                  <w:tcBorders>
                    <w:top w:val="single" w:color="auto" w:sz="12" w:space="0"/>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94.0</w:t>
                  </w:r>
                </w:p>
              </w:tc>
              <w:tc>
                <w:tcPr>
                  <w:tcW w:w="2233" w:type="dxa"/>
                  <w:vMerge w:val="continue"/>
                  <w:tcBorders>
                    <w:tl2br w:val="nil"/>
                    <w:tr2bl w:val="nil"/>
                  </w:tcBorders>
                  <w:vAlign w:val="bottom"/>
                </w:tcPr>
                <w:p>
                  <w:pPr>
                    <w:pStyle w:val="2"/>
                    <w:jc w:val="center"/>
                    <w:rPr>
                      <w:rFonts w:hint="default" w:ascii="Times New Roman" w:hAns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943"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监测后测定结果</w:t>
                  </w:r>
                </w:p>
              </w:tc>
              <w:tc>
                <w:tcPr>
                  <w:tcW w:w="1038"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93.8</w:t>
                  </w:r>
                </w:p>
              </w:tc>
              <w:tc>
                <w:tcPr>
                  <w:tcW w:w="1039"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.6</w:t>
                  </w:r>
                </w:p>
              </w:tc>
              <w:tc>
                <w:tcPr>
                  <w:tcW w:w="1069"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93.7</w:t>
                  </w:r>
                </w:p>
              </w:tc>
              <w:tc>
                <w:tcPr>
                  <w:tcW w:w="1069" w:type="dxa"/>
                  <w:tcBorders>
                    <w:tl2br w:val="nil"/>
                    <w:tr2bl w:val="nil"/>
                  </w:tcBorders>
                  <w:vAlign w:val="bottom"/>
                </w:tcPr>
                <w:p>
                  <w:pPr>
                    <w:pStyle w:val="2"/>
                    <w:ind w:firstLine="210" w:firstLineChars="1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93.8</w:t>
                  </w:r>
                </w:p>
              </w:tc>
              <w:tc>
                <w:tcPr>
                  <w:tcW w:w="2233" w:type="dxa"/>
                  <w:vMerge w:val="continue"/>
                  <w:tcBorders>
                    <w:tl2br w:val="nil"/>
                    <w:tr2bl w:val="nil"/>
                  </w:tcBorders>
                  <w:vAlign w:val="bottom"/>
                </w:tcPr>
                <w:p>
                  <w:pPr>
                    <w:pStyle w:val="2"/>
                    <w:jc w:val="center"/>
                    <w:rPr>
                      <w:rFonts w:hint="default" w:ascii="Times New Roman" w:hAns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943"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差值</w:t>
                  </w:r>
                </w:p>
              </w:tc>
              <w:tc>
                <w:tcPr>
                  <w:tcW w:w="1038"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1039" w:type="dxa"/>
                  <w:tcBorders>
                    <w:tl2br w:val="nil"/>
                    <w:tr2bl w:val="nil"/>
                  </w:tcBorders>
                  <w:vAlign w:val="bottom"/>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1069"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1069"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2233" w:type="dxa"/>
                  <w:vMerge w:val="continue"/>
                  <w:tcBorders>
                    <w:tl2br w:val="nil"/>
                    <w:tr2bl w:val="nil"/>
                  </w:tcBorders>
                  <w:vAlign w:val="bottom"/>
                </w:tcPr>
                <w:p>
                  <w:pPr>
                    <w:pStyle w:val="2"/>
                    <w:jc w:val="center"/>
                    <w:rPr>
                      <w:rFonts w:hint="default" w:ascii="Times New Roman" w:hAns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1943" w:type="dxa"/>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结论</w:t>
                  </w:r>
                </w:p>
              </w:tc>
              <w:tc>
                <w:tcPr>
                  <w:tcW w:w="2077" w:type="dxa"/>
                  <w:gridSpan w:val="2"/>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符合要求</w:t>
                  </w:r>
                </w:p>
              </w:tc>
              <w:tc>
                <w:tcPr>
                  <w:tcW w:w="2138" w:type="dxa"/>
                  <w:gridSpan w:val="2"/>
                  <w:tcBorders>
                    <w:tl2br w:val="nil"/>
                    <w:tr2bl w:val="nil"/>
                  </w:tcBorders>
                  <w:vAlign w:val="bottom"/>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符合要求</w:t>
                  </w:r>
                </w:p>
              </w:tc>
              <w:tc>
                <w:tcPr>
                  <w:tcW w:w="2233" w:type="dxa"/>
                  <w:vMerge w:val="continue"/>
                  <w:tcBorders>
                    <w:tl2br w:val="nil"/>
                    <w:tr2bl w:val="nil"/>
                  </w:tcBorders>
                  <w:vAlign w:val="bottom"/>
                </w:tcPr>
                <w:p>
                  <w:pPr>
                    <w:pStyle w:val="2"/>
                    <w:jc w:val="center"/>
                    <w:rPr>
                      <w:rFonts w:hint="default" w:ascii="Times New Roman" w:hAnsi="Times New Roman" w:cs="Times New Roman"/>
                      <w:color w:val="FF0000"/>
                      <w:sz w:val="21"/>
                      <w:szCs w:val="21"/>
                    </w:rPr>
                  </w:pPr>
                </w:p>
              </w:tc>
            </w:tr>
          </w:tbl>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tabs>
                <w:tab w:val="left" w:pos="2631"/>
                <w:tab w:val="left" w:pos="5747"/>
              </w:tabs>
              <w:spacing w:line="360" w:lineRule="auto"/>
              <w:jc w:val="both"/>
              <w:rPr>
                <w:rFonts w:hint="default" w:ascii="Times New Roman" w:hAnsi="Times New Roman" w:cs="Times New Roman"/>
                <w:b/>
                <w:bCs/>
                <w:kern w:val="2"/>
                <w:szCs w:val="24"/>
              </w:rPr>
            </w:pPr>
          </w:p>
          <w:p>
            <w:pPr>
              <w:pStyle w:val="2"/>
              <w:jc w:val="both"/>
              <w:outlineLvl w:val="0"/>
              <w:rPr>
                <w:rFonts w:hint="default" w:ascii="Times New Roman" w:hAnsi="Times New Roman" w:cs="Times New Roman"/>
                <w:b/>
                <w:bCs/>
                <w:sz w:val="28"/>
                <w:szCs w:val="28"/>
              </w:rPr>
            </w:pPr>
          </w:p>
          <w:p>
            <w:pPr>
              <w:pStyle w:val="2"/>
              <w:jc w:val="both"/>
              <w:outlineLvl w:val="0"/>
              <w:rPr>
                <w:rFonts w:hint="default" w:ascii="Times New Roman" w:hAnsi="Times New Roman" w:cs="Times New Roman"/>
                <w:b/>
                <w:bCs/>
                <w:sz w:val="28"/>
                <w:szCs w:val="28"/>
              </w:rPr>
            </w:pPr>
          </w:p>
        </w:tc>
      </w:tr>
    </w:tbl>
    <w:p>
      <w:pPr>
        <w:jc w:val="center"/>
        <w:outlineLvl w:val="0"/>
        <w:rPr>
          <w:rFonts w:ascii="Times New Roman" w:hAnsi="Times New Roman" w:cs="Times New Roman" w:eastAsiaTheme="majorEastAsia"/>
          <w:b/>
          <w:bCs/>
          <w:sz w:val="28"/>
          <w:szCs w:val="28"/>
        </w:rPr>
      </w:pPr>
      <w:bookmarkStart w:id="12" w:name="_Toc25506"/>
      <w:r>
        <w:rPr>
          <w:rFonts w:ascii="Times New Roman" w:hAnsi="Times New Roman" w:cs="Times New Roman"/>
          <w:b/>
          <w:sz w:val="28"/>
          <w:szCs w:val="28"/>
        </w:rPr>
        <w:t>表八</w:t>
      </w:r>
      <w:bookmarkEnd w:id="12"/>
      <w:r>
        <w:rPr>
          <w:rFonts w:ascii="Times New Roman" w:hAnsi="Times New Roman" w:cs="Times New Roman"/>
          <w:b/>
          <w:sz w:val="28"/>
          <w:szCs w:val="28"/>
        </w:rPr>
        <w:t>验收监测结果与分析</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jc w:val="left"/>
              <w:rPr>
                <w:rFonts w:ascii="Times New Roman" w:hAnsi="Times New Roman" w:cs="Times New Roman" w:eastAsiaTheme="minorEastAsia"/>
                <w:sz w:val="24"/>
              </w:rPr>
            </w:pPr>
            <w:r>
              <w:rPr>
                <w:rFonts w:ascii="Times New Roman" w:hAnsi="Times New Roman" w:cs="Times New Roman" w:eastAsiaTheme="minorEastAsia"/>
                <w:b/>
                <w:sz w:val="24"/>
              </w:rPr>
              <w:t>8.1、验收监测内容及频次</w:t>
            </w:r>
          </w:p>
          <w:p>
            <w:pPr>
              <w:ind w:firstLine="480"/>
              <w:jc w:val="left"/>
              <w:rPr>
                <w:rFonts w:ascii="Times New Roman" w:hAnsi="Times New Roman" w:cs="Times New Roman"/>
                <w:sz w:val="24"/>
              </w:rPr>
            </w:pPr>
            <w:r>
              <w:rPr>
                <w:rFonts w:ascii="Times New Roman" w:hAnsi="Times New Roman" w:cs="Times New Roman"/>
                <w:sz w:val="24"/>
              </w:rPr>
              <w:t>根据该项目污染物排放特点，我们对废水、废气、噪声进行了为期两天的验收监测，主要监测内容见下表8-1。</w:t>
            </w:r>
          </w:p>
          <w:p>
            <w:pPr>
              <w:jc w:val="center"/>
              <w:rPr>
                <w:rFonts w:ascii="Times New Roman" w:hAnsi="Times New Roman" w:cs="Times New Roman"/>
                <w:b/>
                <w:szCs w:val="21"/>
              </w:rPr>
            </w:pPr>
            <w:r>
              <w:rPr>
                <w:rFonts w:ascii="Times New Roman" w:hAnsi="Times New Roman" w:cs="Times New Roman"/>
                <w:b/>
                <w:szCs w:val="21"/>
              </w:rPr>
              <w:t>表8-1 污染物监测与环境质量监测一览表</w:t>
            </w:r>
          </w:p>
          <w:tbl>
            <w:tblPr>
              <w:tblStyle w:val="17"/>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292"/>
              <w:gridCol w:w="2910"/>
              <w:gridCol w:w="2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01" w:type="dxa"/>
                  <w:tcBorders>
                    <w:bottom w:val="single" w:color="auto" w:sz="12" w:space="0"/>
                  </w:tcBorders>
                  <w:vAlign w:val="center"/>
                </w:tcPr>
                <w:p>
                  <w:pPr>
                    <w:spacing w:line="300" w:lineRule="auto"/>
                    <w:jc w:val="center"/>
                    <w:rPr>
                      <w:rFonts w:ascii="Times New Roman" w:hAnsi="Times New Roman" w:cs="Times New Roman"/>
                      <w:b/>
                      <w:szCs w:val="21"/>
                    </w:rPr>
                  </w:pPr>
                  <w:r>
                    <w:rPr>
                      <w:rFonts w:ascii="Times New Roman" w:hAnsi="Times New Roman" w:cs="Times New Roman"/>
                      <w:b/>
                      <w:szCs w:val="21"/>
                    </w:rPr>
                    <w:t>类别</w:t>
                  </w:r>
                </w:p>
              </w:tc>
              <w:tc>
                <w:tcPr>
                  <w:tcW w:w="2292" w:type="dxa"/>
                  <w:tcBorders>
                    <w:bottom w:val="single" w:color="auto" w:sz="12" w:space="0"/>
                  </w:tcBorders>
                  <w:vAlign w:val="center"/>
                </w:tcPr>
                <w:p>
                  <w:pPr>
                    <w:spacing w:line="300" w:lineRule="auto"/>
                    <w:jc w:val="center"/>
                    <w:rPr>
                      <w:rFonts w:ascii="Times New Roman" w:hAnsi="Times New Roman" w:cs="Times New Roman"/>
                      <w:b/>
                      <w:szCs w:val="21"/>
                    </w:rPr>
                  </w:pPr>
                  <w:r>
                    <w:rPr>
                      <w:rFonts w:ascii="Times New Roman" w:hAnsi="Times New Roman" w:cs="Times New Roman"/>
                      <w:b/>
                      <w:szCs w:val="21"/>
                    </w:rPr>
                    <w:t>监测点位</w:t>
                  </w:r>
                </w:p>
              </w:tc>
              <w:tc>
                <w:tcPr>
                  <w:tcW w:w="2910" w:type="dxa"/>
                  <w:tcBorders>
                    <w:bottom w:val="single" w:color="auto" w:sz="12" w:space="0"/>
                  </w:tcBorders>
                  <w:vAlign w:val="center"/>
                </w:tcPr>
                <w:p>
                  <w:pPr>
                    <w:spacing w:line="300" w:lineRule="auto"/>
                    <w:jc w:val="center"/>
                    <w:rPr>
                      <w:rFonts w:ascii="Times New Roman" w:hAnsi="Times New Roman" w:cs="Times New Roman"/>
                      <w:b/>
                      <w:szCs w:val="21"/>
                    </w:rPr>
                  </w:pPr>
                  <w:r>
                    <w:rPr>
                      <w:rFonts w:ascii="Times New Roman" w:hAnsi="Times New Roman" w:cs="Times New Roman"/>
                      <w:b/>
                      <w:szCs w:val="21"/>
                    </w:rPr>
                    <w:t>监测因子</w:t>
                  </w:r>
                </w:p>
              </w:tc>
              <w:tc>
                <w:tcPr>
                  <w:tcW w:w="2203" w:type="dxa"/>
                  <w:tcBorders>
                    <w:bottom w:val="single" w:color="auto" w:sz="12" w:space="0"/>
                  </w:tcBorders>
                  <w:vAlign w:val="center"/>
                </w:tcPr>
                <w:p>
                  <w:pPr>
                    <w:spacing w:line="300" w:lineRule="auto"/>
                    <w:jc w:val="center"/>
                    <w:rPr>
                      <w:rFonts w:ascii="Times New Roman" w:hAnsi="Times New Roman" w:cs="Times New Roman"/>
                      <w:b/>
                      <w:szCs w:val="21"/>
                    </w:rPr>
                  </w:pPr>
                  <w:r>
                    <w:rPr>
                      <w:rFonts w:ascii="Times New Roman" w:hAnsi="Times New Roman"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01" w:type="dxa"/>
                  <w:tcBorders>
                    <w:top w:val="single" w:color="auto" w:sz="12" w:space="0"/>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废水</w:t>
                  </w:r>
                </w:p>
              </w:tc>
              <w:tc>
                <w:tcPr>
                  <w:tcW w:w="2292" w:type="dxa"/>
                  <w:tcBorders>
                    <w:top w:val="single" w:color="auto" w:sz="12" w:space="0"/>
                    <w:bottom w:val="single" w:color="auto" w:sz="4" w:space="0"/>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综合废水排放口</w:t>
                  </w:r>
                </w:p>
              </w:tc>
              <w:tc>
                <w:tcPr>
                  <w:tcW w:w="2910" w:type="dxa"/>
                  <w:tcBorders>
                    <w:top w:val="single" w:color="auto" w:sz="12" w:space="0"/>
                    <w:bottom w:val="single" w:color="auto" w:sz="4" w:space="0"/>
                    <w:tl2br w:val="nil"/>
                    <w:tr2bl w:val="nil"/>
                  </w:tcBorders>
                  <w:vAlign w:val="center"/>
                </w:tcPr>
                <w:p>
                  <w:pPr>
                    <w:spacing w:line="300" w:lineRule="auto"/>
                    <w:jc w:val="center"/>
                    <w:rPr>
                      <w:rFonts w:ascii="Times New Roman" w:hAnsi="Times New Roman" w:cs="Times New Roman" w:eastAsiaTheme="majorEastAsia"/>
                      <w:bCs/>
                      <w:szCs w:val="21"/>
                    </w:rPr>
                  </w:pPr>
                  <w:r>
                    <w:rPr>
                      <w:rFonts w:ascii="Times New Roman" w:hAnsi="Times New Roman" w:cs="Times New Roman"/>
                      <w:szCs w:val="21"/>
                    </w:rPr>
                    <w:t>pH、CODcr、BOD</w:t>
                  </w:r>
                  <w:r>
                    <w:rPr>
                      <w:rFonts w:ascii="Times New Roman" w:hAnsi="Times New Roman" w:cs="Times New Roman"/>
                      <w:szCs w:val="21"/>
                      <w:vertAlign w:val="subscript"/>
                    </w:rPr>
                    <w:t>5</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-N、SS、石油类、动植物油、总磷</w:t>
                  </w:r>
                </w:p>
              </w:tc>
              <w:tc>
                <w:tcPr>
                  <w:tcW w:w="2203" w:type="dxa"/>
                  <w:tcBorders>
                    <w:top w:val="single" w:color="auto" w:sz="12" w:space="0"/>
                    <w:tl2br w:val="nil"/>
                    <w:tr2bl w:val="nil"/>
                  </w:tcBorders>
                  <w:vAlign w:val="center"/>
                </w:tcPr>
                <w:p>
                  <w:pPr>
                    <w:spacing w:line="300" w:lineRule="auto"/>
                    <w:jc w:val="center"/>
                    <w:rPr>
                      <w:rFonts w:ascii="Times New Roman" w:hAnsi="Times New Roman" w:cs="Times New Roman" w:eastAsiaTheme="majorEastAsia"/>
                      <w:bCs/>
                      <w:szCs w:val="21"/>
                    </w:rPr>
                  </w:pPr>
                  <w:r>
                    <w:rPr>
                      <w:rFonts w:ascii="Times New Roman" w:hAnsi="Times New Roman" w:cs="Times New Roman" w:eastAsiaTheme="majorEastAsia"/>
                      <w:bCs/>
                      <w:szCs w:val="21"/>
                    </w:rPr>
                    <w:t>4次/天，监测2天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01"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有组织废气</w:t>
                  </w:r>
                </w:p>
              </w:tc>
              <w:tc>
                <w:tcPr>
                  <w:tcW w:w="2292"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喷漆房排气筒</w:t>
                  </w:r>
                </w:p>
              </w:tc>
              <w:tc>
                <w:tcPr>
                  <w:tcW w:w="2910"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甲苯、二甲苯、VOCs（以非甲烷总烃计）</w:t>
                  </w:r>
                </w:p>
              </w:tc>
              <w:tc>
                <w:tcPr>
                  <w:tcW w:w="2203" w:type="dxa"/>
                  <w:tcBorders>
                    <w:tl2br w:val="nil"/>
                    <w:tr2bl w:val="nil"/>
                  </w:tcBorders>
                  <w:vAlign w:val="center"/>
                </w:tcPr>
                <w:p>
                  <w:pPr>
                    <w:spacing w:line="300" w:lineRule="auto"/>
                    <w:jc w:val="center"/>
                    <w:rPr>
                      <w:rFonts w:ascii="Times New Roman" w:hAnsi="Times New Roman" w:cs="Times New Roman" w:eastAsiaTheme="majorEastAsia"/>
                      <w:bCs/>
                      <w:szCs w:val="21"/>
                    </w:rPr>
                  </w:pPr>
                  <w:r>
                    <w:rPr>
                      <w:rFonts w:ascii="Times New Roman" w:hAnsi="Times New Roman" w:cs="Times New Roman" w:eastAsiaTheme="majorEastAsia"/>
                      <w:bCs/>
                      <w:szCs w:val="21"/>
                    </w:rPr>
                    <w:t>3次/天，监测2天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01" w:type="dxa"/>
                  <w:vMerge w:val="restart"/>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无组织废气</w:t>
                  </w:r>
                </w:p>
              </w:tc>
              <w:tc>
                <w:tcPr>
                  <w:tcW w:w="2292"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下风向2个点</w:t>
                  </w:r>
                </w:p>
              </w:tc>
              <w:tc>
                <w:tcPr>
                  <w:tcW w:w="2910"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甲苯、二甲苯、VOCs（以非甲烷总烃计）、颗粒物</w:t>
                  </w:r>
                </w:p>
              </w:tc>
              <w:tc>
                <w:tcPr>
                  <w:tcW w:w="2203" w:type="dxa"/>
                  <w:vMerge w:val="restart"/>
                  <w:tcBorders>
                    <w:tl2br w:val="nil"/>
                    <w:tr2bl w:val="nil"/>
                  </w:tcBorders>
                  <w:vAlign w:val="center"/>
                </w:tcPr>
                <w:p>
                  <w:pPr>
                    <w:spacing w:line="300" w:lineRule="auto"/>
                    <w:jc w:val="center"/>
                    <w:rPr>
                      <w:rFonts w:ascii="Times New Roman" w:hAnsi="Times New Roman" w:cs="Times New Roman" w:eastAsiaTheme="majorEastAsia"/>
                      <w:bCs/>
                      <w:szCs w:val="21"/>
                    </w:rPr>
                  </w:pPr>
                  <w:r>
                    <w:rPr>
                      <w:rFonts w:ascii="Times New Roman" w:hAnsi="Times New Roman" w:cs="Times New Roman" w:eastAsiaTheme="majorEastAsia"/>
                      <w:bCs/>
                      <w:szCs w:val="21"/>
                    </w:rPr>
                    <w:t>4次/天，监测2天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01" w:type="dxa"/>
                  <w:vMerge w:val="continue"/>
                  <w:tcBorders>
                    <w:tl2br w:val="nil"/>
                    <w:tr2bl w:val="nil"/>
                  </w:tcBorders>
                  <w:vAlign w:val="center"/>
                </w:tcPr>
                <w:p>
                  <w:pPr>
                    <w:spacing w:line="300" w:lineRule="auto"/>
                    <w:jc w:val="center"/>
                    <w:rPr>
                      <w:rFonts w:ascii="Times New Roman" w:hAnsi="Times New Roman" w:cs="Times New Roman"/>
                      <w:bCs/>
                      <w:szCs w:val="21"/>
                    </w:rPr>
                  </w:pPr>
                </w:p>
              </w:tc>
              <w:tc>
                <w:tcPr>
                  <w:tcW w:w="2292"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喷漆车间外1个点</w:t>
                  </w:r>
                </w:p>
              </w:tc>
              <w:tc>
                <w:tcPr>
                  <w:tcW w:w="2910" w:type="dxa"/>
                  <w:tcBorders>
                    <w:tl2br w:val="nil"/>
                    <w:tr2bl w:val="nil"/>
                  </w:tcBorders>
                  <w:vAlign w:val="center"/>
                </w:tcPr>
                <w:p>
                  <w:pPr>
                    <w:spacing w:line="300" w:lineRule="auto"/>
                    <w:jc w:val="center"/>
                    <w:rPr>
                      <w:rFonts w:ascii="Times New Roman" w:hAnsi="Times New Roman" w:cs="Times New Roman"/>
                      <w:b/>
                      <w:szCs w:val="21"/>
                    </w:rPr>
                  </w:pPr>
                  <w:r>
                    <w:rPr>
                      <w:rFonts w:ascii="Times New Roman" w:hAnsi="Times New Roman" w:cs="Times New Roman"/>
                      <w:bCs/>
                      <w:szCs w:val="21"/>
                    </w:rPr>
                    <w:t>VOCs（以非甲烷总烃计）</w:t>
                  </w:r>
                </w:p>
              </w:tc>
              <w:tc>
                <w:tcPr>
                  <w:tcW w:w="2203" w:type="dxa"/>
                  <w:vMerge w:val="continue"/>
                  <w:tcBorders>
                    <w:tl2br w:val="nil"/>
                    <w:tr2bl w:val="nil"/>
                  </w:tcBorders>
                  <w:vAlign w:val="center"/>
                </w:tcPr>
                <w:p>
                  <w:pPr>
                    <w:spacing w:line="300" w:lineRule="auto"/>
                    <w:jc w:val="center"/>
                    <w:rPr>
                      <w:rFonts w:ascii="Times New Roman" w:hAnsi="Times New Roman" w:cs="Times New Roman" w:eastAsiaTheme="majorEastAsia"/>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01"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bCs/>
                      <w:szCs w:val="21"/>
                    </w:rPr>
                    <w:t>厂界</w:t>
                  </w:r>
                </w:p>
                <w:p>
                  <w:pPr>
                    <w:spacing w:line="300" w:lineRule="auto"/>
                    <w:jc w:val="center"/>
                    <w:rPr>
                      <w:rFonts w:ascii="Times New Roman" w:hAnsi="Times New Roman" w:cs="Times New Roman"/>
                      <w:bCs/>
                      <w:szCs w:val="21"/>
                    </w:rPr>
                  </w:pPr>
                  <w:r>
                    <w:rPr>
                      <w:rFonts w:ascii="Times New Roman" w:hAnsi="Times New Roman" w:cs="Times New Roman"/>
                      <w:bCs/>
                      <w:szCs w:val="21"/>
                    </w:rPr>
                    <w:t>噪声</w:t>
                  </w:r>
                </w:p>
              </w:tc>
              <w:tc>
                <w:tcPr>
                  <w:tcW w:w="2292"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szCs w:val="21"/>
                    </w:rPr>
                    <w:t>厂界四周、沿地块厂界外1m，布设监测点位</w:t>
                  </w:r>
                </w:p>
              </w:tc>
              <w:tc>
                <w:tcPr>
                  <w:tcW w:w="2910" w:type="dxa"/>
                  <w:tcBorders>
                    <w:tl2br w:val="nil"/>
                    <w:tr2bl w:val="nil"/>
                  </w:tcBorders>
                  <w:vAlign w:val="center"/>
                </w:tcPr>
                <w:p>
                  <w:pPr>
                    <w:spacing w:line="300" w:lineRule="auto"/>
                    <w:jc w:val="center"/>
                    <w:rPr>
                      <w:rFonts w:ascii="Times New Roman" w:hAnsi="Times New Roman" w:cs="Times New Roman"/>
                    </w:rPr>
                  </w:pPr>
                  <w:r>
                    <w:rPr>
                      <w:rFonts w:ascii="Times New Roman" w:hAnsi="Times New Roman" w:cs="Times New Roman"/>
                    </w:rPr>
                    <w:t>昼夜间等效连续A声级</w:t>
                  </w:r>
                </w:p>
                <w:p>
                  <w:pPr>
                    <w:spacing w:line="300" w:lineRule="auto"/>
                    <w:jc w:val="center"/>
                    <w:rPr>
                      <w:rFonts w:ascii="Times New Roman" w:hAnsi="Times New Roman" w:cs="Times New Roman"/>
                      <w:bCs/>
                      <w:szCs w:val="21"/>
                    </w:rPr>
                  </w:pPr>
                  <w:r>
                    <w:rPr>
                      <w:rFonts w:ascii="Times New Roman" w:hAnsi="Times New Roman" w:cs="Times New Roman"/>
                    </w:rPr>
                    <w:t>Leq（A）</w:t>
                  </w:r>
                </w:p>
              </w:tc>
              <w:tc>
                <w:tcPr>
                  <w:tcW w:w="2203" w:type="dxa"/>
                  <w:tcBorders>
                    <w:tl2br w:val="nil"/>
                    <w:tr2bl w:val="nil"/>
                  </w:tcBorders>
                  <w:vAlign w:val="center"/>
                </w:tcPr>
                <w:p>
                  <w:pPr>
                    <w:spacing w:line="300" w:lineRule="auto"/>
                    <w:jc w:val="center"/>
                    <w:rPr>
                      <w:rFonts w:ascii="Times New Roman" w:hAnsi="Times New Roman" w:cs="Times New Roman"/>
                      <w:bCs/>
                      <w:szCs w:val="21"/>
                    </w:rPr>
                  </w:pPr>
                  <w:r>
                    <w:rPr>
                      <w:rFonts w:ascii="Times New Roman" w:hAnsi="Times New Roman" w:cs="Times New Roman"/>
                      <w:szCs w:val="21"/>
                    </w:rPr>
                    <w:t>昼夜</w:t>
                  </w:r>
                  <w:r>
                    <w:rPr>
                      <w:rFonts w:ascii="Times New Roman" w:hAnsi="Times New Roman" w:cs="Times New Roman" w:eastAsiaTheme="majorEastAsia"/>
                      <w:bCs/>
                      <w:szCs w:val="21"/>
                    </w:rPr>
                    <w:t>每天各1次，2</w:t>
                  </w:r>
                  <w:r>
                    <w:rPr>
                      <w:rFonts w:ascii="Times New Roman" w:hAnsi="Times New Roman" w:cs="Times New Roman"/>
                      <w:szCs w:val="21"/>
                    </w:rPr>
                    <w:t>天</w:t>
                  </w:r>
                </w:p>
              </w:tc>
            </w:tr>
          </w:tbl>
          <w:p>
            <w:pPr>
              <w:spacing w:line="480" w:lineRule="auto"/>
              <w:rPr>
                <w:rFonts w:ascii="Times New Roman" w:hAnsi="Times New Roman" w:cs="Times New Roman"/>
                <w:b/>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jc w:val="left"/>
              <w:rPr>
                <w:rFonts w:ascii="Times New Roman" w:hAnsi="Times New Roman" w:cs="Times New Roman" w:eastAsiaTheme="minorEastAsia"/>
                <w:b/>
                <w:sz w:val="24"/>
              </w:rPr>
            </w:pPr>
            <w:r>
              <w:rPr>
                <w:rFonts w:ascii="Times New Roman" w:hAnsi="Times New Roman" w:cs="Times New Roman" w:eastAsiaTheme="minorEastAsia"/>
                <w:b/>
                <w:sz w:val="24"/>
              </w:rPr>
              <w:t>8.2、验收监测方法标准</w:t>
            </w:r>
          </w:p>
          <w:p>
            <w:pPr>
              <w:jc w:val="left"/>
              <w:rPr>
                <w:rFonts w:ascii="Times New Roman" w:hAnsi="Times New Roman" w:cs="Times New Roman"/>
                <w:sz w:val="24"/>
              </w:rPr>
            </w:pPr>
            <w:r>
              <w:rPr>
                <w:rFonts w:ascii="Times New Roman" w:hAnsi="Times New Roman" w:cs="Times New Roman"/>
                <w:sz w:val="24"/>
              </w:rPr>
              <w:t>检测方法及使用仪器见表8-2</w:t>
            </w:r>
          </w:p>
          <w:p>
            <w:pPr>
              <w:jc w:val="center"/>
              <w:rPr>
                <w:rFonts w:ascii="Times New Roman" w:hAnsi="Times New Roman" w:cs="Times New Roman"/>
                <w:b/>
                <w:szCs w:val="21"/>
              </w:rPr>
            </w:pPr>
            <w:r>
              <w:rPr>
                <w:rFonts w:ascii="Times New Roman" w:hAnsi="Times New Roman" w:cs="Times New Roman"/>
                <w:b/>
                <w:szCs w:val="21"/>
              </w:rPr>
              <w:t>表8-2 检测方法及使用一览表</w:t>
            </w:r>
          </w:p>
          <w:tbl>
            <w:tblPr>
              <w:tblStyle w:val="17"/>
              <w:tblW w:w="82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499"/>
              <w:gridCol w:w="870"/>
              <w:gridCol w:w="3323"/>
              <w:gridCol w:w="1857"/>
              <w:gridCol w:w="10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98" w:type="dxa"/>
                  <w:tcBorders>
                    <w:bottom w:val="single" w:color="auto" w:sz="12" w:space="0"/>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1369" w:type="dxa"/>
                  <w:gridSpan w:val="2"/>
                  <w:tcBorders>
                    <w:bottom w:val="single" w:color="auto" w:sz="12" w:space="0"/>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污染因子</w:t>
                  </w:r>
                </w:p>
              </w:tc>
              <w:tc>
                <w:tcPr>
                  <w:tcW w:w="3323" w:type="dxa"/>
                  <w:tcBorders>
                    <w:bottom w:val="single" w:color="auto" w:sz="12" w:space="0"/>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分析方法及来源</w:t>
                  </w:r>
                </w:p>
              </w:tc>
              <w:tc>
                <w:tcPr>
                  <w:tcW w:w="1857" w:type="dxa"/>
                  <w:tcBorders>
                    <w:bottom w:val="single" w:color="auto" w:sz="12" w:space="0"/>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使用仪器</w:t>
                  </w:r>
                </w:p>
              </w:tc>
              <w:tc>
                <w:tcPr>
                  <w:tcW w:w="1049" w:type="dxa"/>
                  <w:tcBorders>
                    <w:bottom w:val="single" w:color="auto" w:sz="12" w:space="0"/>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8" w:type="dxa"/>
                  <w:vMerge w:val="restart"/>
                  <w:tcBorders>
                    <w:top w:val="single" w:color="auto" w:sz="12" w:space="0"/>
                    <w:tl2br w:val="nil"/>
                    <w:tr2bl w:val="nil"/>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sz w:val="21"/>
                      <w:szCs w:val="21"/>
                    </w:rPr>
                    <w:t>废水</w:t>
                  </w:r>
                </w:p>
              </w:tc>
              <w:tc>
                <w:tcPr>
                  <w:tcW w:w="1369" w:type="dxa"/>
                  <w:gridSpan w:val="2"/>
                  <w:tcBorders>
                    <w:top w:val="single" w:color="auto" w:sz="12" w:space="0"/>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pH</w:t>
                  </w:r>
                </w:p>
              </w:tc>
              <w:tc>
                <w:tcPr>
                  <w:tcW w:w="3323" w:type="dxa"/>
                  <w:tcBorders>
                    <w:top w:val="single" w:color="auto" w:sz="12" w:space="0"/>
                    <w:tl2br w:val="nil"/>
                    <w:tr2bl w:val="nil"/>
                  </w:tcBorders>
                  <w:vAlign w:val="center"/>
                </w:tcPr>
                <w:p>
                  <w:pPr>
                    <w:spacing w:line="240" w:lineRule="auto"/>
                    <w:jc w:val="center"/>
                    <w:rPr>
                      <w:rFonts w:ascii="Times New Roman" w:hAnsi="Times New Roman" w:cs="Times New Roman"/>
                      <w:szCs w:val="21"/>
                    </w:rPr>
                  </w:pPr>
                  <w:r>
                    <w:rPr>
                      <w:rFonts w:ascii="Times New Roman" w:hAnsi="Times New Roman" w:cs="Times New Roman"/>
                      <w:szCs w:val="21"/>
                    </w:rPr>
                    <w:t>《水质 pH的测定</w:t>
                  </w:r>
                </w:p>
                <w:p>
                  <w:pPr>
                    <w:spacing w:line="240" w:lineRule="auto"/>
                    <w:jc w:val="center"/>
                    <w:rPr>
                      <w:rFonts w:ascii="Times New Roman" w:hAnsi="Times New Roman" w:cs="Times New Roman"/>
                      <w:b/>
                      <w:bCs/>
                      <w:szCs w:val="21"/>
                    </w:rPr>
                  </w:pPr>
                  <w:r>
                    <w:rPr>
                      <w:rFonts w:ascii="Times New Roman" w:hAnsi="Times New Roman" w:cs="Times New Roman"/>
                      <w:szCs w:val="21"/>
                    </w:rPr>
                    <w:t>玻璃电极》（GB6920-86）</w:t>
                  </w:r>
                </w:p>
              </w:tc>
              <w:tc>
                <w:tcPr>
                  <w:tcW w:w="1857" w:type="dxa"/>
                  <w:tcBorders>
                    <w:top w:val="single" w:color="auto" w:sz="12" w:space="0"/>
                    <w:tl2br w:val="nil"/>
                    <w:tr2bl w:val="nil"/>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kern w:val="2"/>
                      <w:sz w:val="21"/>
                      <w:szCs w:val="21"/>
                    </w:rPr>
                    <w:t>PHB-4便携式pH计（Q/YXLG73）</w:t>
                  </w:r>
                </w:p>
              </w:tc>
              <w:tc>
                <w:tcPr>
                  <w:tcW w:w="1049" w:type="dxa"/>
                  <w:tcBorders>
                    <w:top w:val="single" w:color="auto" w:sz="12" w:space="0"/>
                    <w:tl2br w:val="nil"/>
                    <w:tr2bl w:val="nil"/>
                  </w:tcBorders>
                  <w:vAlign w:val="center"/>
                </w:tcPr>
                <w:p>
                  <w:pPr>
                    <w:spacing w:line="240" w:lineRule="auto"/>
                    <w:jc w:val="center"/>
                    <w:rPr>
                      <w:rFonts w:ascii="Times New Roman" w:hAnsi="Times New Roman" w:cs="Times New Roman"/>
                      <w:color w:val="000000"/>
                      <w:szCs w:val="21"/>
                    </w:rPr>
                  </w:pPr>
                  <w:r>
                    <w:rPr>
                      <w:rFonts w:ascii="Times New Roman" w:hAnsi="Times New Roman" w:cs="Times New Roman"/>
                      <w:color w:val="000000"/>
                      <w:szCs w:val="21"/>
                    </w:rPr>
                    <w:t>0.01</w:t>
                  </w:r>
                </w:p>
                <w:p>
                  <w:pPr>
                    <w:pStyle w:val="2"/>
                    <w:jc w:val="center"/>
                    <w:rPr>
                      <w:rFonts w:hint="default" w:ascii="Times New Roman" w:hAnsi="Times New Roman" w:cs="Times New Roman"/>
                      <w:b/>
                      <w:bCs/>
                      <w:sz w:val="21"/>
                      <w:szCs w:val="21"/>
                    </w:rPr>
                  </w:pPr>
                  <w:r>
                    <w:rPr>
                      <w:rFonts w:hint="default" w:ascii="Times New Roman" w:hAnsi="Times New Roman" w:cs="Times New Roman"/>
                      <w:kern w:val="2"/>
                      <w:sz w:val="21"/>
                      <w:szCs w:val="21"/>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98" w:type="dxa"/>
                  <w:vMerge w:val="continue"/>
                  <w:tcBorders>
                    <w:tl2br w:val="nil"/>
                    <w:tr2bl w:val="nil"/>
                  </w:tcBorders>
                  <w:vAlign w:val="center"/>
                </w:tcPr>
                <w:p>
                  <w:pPr>
                    <w:pStyle w:val="2"/>
                    <w:jc w:val="center"/>
                    <w:rPr>
                      <w:rFonts w:hint="default" w:ascii="Times New Roman" w:hAnsi="Times New Roman" w:cs="Times New Roman"/>
                      <w:b/>
                      <w:bCs/>
                      <w:sz w:val="21"/>
                      <w:szCs w:val="21"/>
                    </w:rPr>
                  </w:pPr>
                </w:p>
              </w:tc>
              <w:tc>
                <w:tcPr>
                  <w:tcW w:w="1369" w:type="dxa"/>
                  <w:gridSpan w:val="2"/>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COD</w:t>
                  </w:r>
                  <w:r>
                    <w:rPr>
                      <w:rFonts w:hint="default" w:ascii="Times New Roman" w:hAnsi="Times New Roman" w:cs="Times New Roman"/>
                      <w:sz w:val="21"/>
                      <w:szCs w:val="21"/>
                      <w:vertAlign w:val="subscript"/>
                    </w:rPr>
                    <w:t>Cr</w:t>
                  </w:r>
                </w:p>
              </w:tc>
              <w:tc>
                <w:tcPr>
                  <w:tcW w:w="3323" w:type="dxa"/>
                  <w:tcBorders>
                    <w:tl2br w:val="nil"/>
                    <w:tr2bl w:val="nil"/>
                  </w:tcBorders>
                  <w:vAlign w:val="center"/>
                </w:tcPr>
                <w:p>
                  <w:pPr>
                    <w:jc w:val="center"/>
                    <w:rPr>
                      <w:rFonts w:ascii="Times New Roman" w:hAnsi="Times New Roman" w:cs="Times New Roman"/>
                      <w:b/>
                      <w:bCs/>
                      <w:szCs w:val="21"/>
                    </w:rPr>
                  </w:pPr>
                  <w:r>
                    <w:rPr>
                      <w:rFonts w:ascii="Times New Roman" w:hAnsi="Times New Roman" w:cs="Times New Roman"/>
                      <w:color w:val="000000"/>
                      <w:szCs w:val="21"/>
                    </w:rPr>
                    <w:t>《水质 化学需氧量的测定 重铬酸盐法》（HJ 828—2017）</w:t>
                  </w:r>
                </w:p>
              </w:tc>
              <w:tc>
                <w:tcPr>
                  <w:tcW w:w="1857" w:type="dxa"/>
                  <w:tcBorders>
                    <w:tl2br w:val="nil"/>
                    <w:tr2bl w:val="nil"/>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kern w:val="2"/>
                      <w:sz w:val="21"/>
                      <w:szCs w:val="21"/>
                    </w:rPr>
                    <w:t>测定管</w:t>
                  </w:r>
                </w:p>
              </w:tc>
              <w:tc>
                <w:tcPr>
                  <w:tcW w:w="1049" w:type="dxa"/>
                  <w:tcBorders>
                    <w:tl2br w:val="nil"/>
                    <w:tr2bl w:val="nil"/>
                  </w:tcBorders>
                  <w:vAlign w:val="center"/>
                </w:tcPr>
                <w:p>
                  <w:pPr>
                    <w:spacing w:line="240" w:lineRule="auto"/>
                    <w:jc w:val="center"/>
                    <w:rPr>
                      <w:rFonts w:ascii="Times New Roman" w:hAnsi="Times New Roman" w:cs="Times New Roman"/>
                      <w:b/>
                      <w:bCs/>
                      <w:szCs w:val="21"/>
                    </w:rPr>
                  </w:pPr>
                  <w:r>
                    <w:rPr>
                      <w:rFonts w:ascii="Times New Roman" w:hAnsi="Times New Roman" w:cs="Times New Roman"/>
                      <w:szCs w:val="21"/>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98" w:type="dxa"/>
                  <w:vMerge w:val="continue"/>
                  <w:tcBorders>
                    <w:tl2br w:val="nil"/>
                    <w:tr2bl w:val="nil"/>
                  </w:tcBorders>
                  <w:vAlign w:val="center"/>
                </w:tcPr>
                <w:p>
                  <w:pPr>
                    <w:pStyle w:val="2"/>
                    <w:jc w:val="center"/>
                    <w:rPr>
                      <w:rFonts w:hint="default" w:ascii="Times New Roman" w:hAnsi="Times New Roman" w:cs="Times New Roman"/>
                      <w:b/>
                      <w:bCs/>
                      <w:sz w:val="21"/>
                      <w:szCs w:val="21"/>
                    </w:rPr>
                  </w:pPr>
                </w:p>
              </w:tc>
              <w:tc>
                <w:tcPr>
                  <w:tcW w:w="1369" w:type="dxa"/>
                  <w:gridSpan w:val="2"/>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eastAsiaTheme="majorEastAsia"/>
                      <w:bCs/>
                      <w:sz w:val="21"/>
                      <w:szCs w:val="21"/>
                    </w:rPr>
                    <w:t>BOD</w:t>
                  </w:r>
                  <w:r>
                    <w:rPr>
                      <w:rFonts w:hint="default" w:ascii="Times New Roman" w:hAnsi="Times New Roman" w:cs="Times New Roman" w:eastAsiaTheme="majorEastAsia"/>
                      <w:bCs/>
                      <w:sz w:val="21"/>
                      <w:szCs w:val="21"/>
                      <w:vertAlign w:val="subscript"/>
                    </w:rPr>
                    <w:t>5</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《水质 五日生化需氧量（BOD5)的测定 稀释与接种法》 （HJ 505−2009）</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测定管</w:t>
                  </w:r>
                </w:p>
              </w:tc>
              <w:tc>
                <w:tcPr>
                  <w:tcW w:w="1049"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98" w:type="dxa"/>
                  <w:vMerge w:val="continue"/>
                  <w:tcBorders>
                    <w:tl2br w:val="nil"/>
                    <w:tr2bl w:val="nil"/>
                  </w:tcBorders>
                  <w:vAlign w:val="center"/>
                </w:tcPr>
                <w:p>
                  <w:pPr>
                    <w:pStyle w:val="2"/>
                    <w:jc w:val="center"/>
                    <w:rPr>
                      <w:rFonts w:hint="default" w:ascii="Times New Roman" w:hAnsi="Times New Roman" w:cs="Times New Roman"/>
                      <w:b/>
                      <w:bCs/>
                      <w:sz w:val="21"/>
                      <w:szCs w:val="21"/>
                    </w:rPr>
                  </w:pPr>
                </w:p>
              </w:tc>
              <w:tc>
                <w:tcPr>
                  <w:tcW w:w="1369" w:type="dxa"/>
                  <w:gridSpan w:val="2"/>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NH</w:t>
                  </w:r>
                  <w:r>
                    <w:rPr>
                      <w:rFonts w:hint="default" w:ascii="Times New Roman" w:hAnsi="Times New Roman" w:cs="Times New Roman"/>
                      <w:color w:val="000000" w:themeColor="text1"/>
                      <w:kern w:val="2"/>
                      <w:sz w:val="21"/>
                      <w:szCs w:val="21"/>
                      <w:vertAlign w:val="subscript"/>
                    </w:rPr>
                    <w:t>3</w:t>
                  </w:r>
                  <w:r>
                    <w:rPr>
                      <w:rFonts w:hint="default" w:ascii="Times New Roman" w:hAnsi="Times New Roman" w:cs="Times New Roman"/>
                      <w:color w:val="000000" w:themeColor="text1"/>
                      <w:kern w:val="2"/>
                      <w:sz w:val="21"/>
                      <w:szCs w:val="21"/>
                    </w:rPr>
                    <w:t>-</w:t>
                  </w:r>
                  <w:r>
                    <w:rPr>
                      <w:rFonts w:hint="default" w:ascii="Times New Roman" w:hAnsi="Times New Roman" w:cs="Times New Roman"/>
                      <w:kern w:val="2"/>
                      <w:sz w:val="21"/>
                      <w:szCs w:val="21"/>
                    </w:rPr>
                    <w:t>N</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 xml:space="preserve">《水质 氨氮的测定 </w:t>
                  </w:r>
                </w:p>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纳氏试剂分光光度》（HJ 535-2009）</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TU-1810紫外可见分光光度计</w:t>
                  </w:r>
                </w:p>
              </w:tc>
              <w:tc>
                <w:tcPr>
                  <w:tcW w:w="1049"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0.025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vMerge w:val="continue"/>
                  <w:tcBorders>
                    <w:tl2br w:val="nil"/>
                    <w:tr2bl w:val="nil"/>
                  </w:tcBorders>
                  <w:vAlign w:val="center"/>
                </w:tcPr>
                <w:p>
                  <w:pPr>
                    <w:pStyle w:val="2"/>
                    <w:jc w:val="center"/>
                    <w:rPr>
                      <w:rFonts w:hint="default" w:ascii="Times New Roman" w:hAnsi="Times New Roman" w:cs="Times New Roman"/>
                      <w:b/>
                      <w:bCs/>
                      <w:sz w:val="21"/>
                      <w:szCs w:val="21"/>
                    </w:rPr>
                  </w:pPr>
                </w:p>
              </w:tc>
              <w:tc>
                <w:tcPr>
                  <w:tcW w:w="1369" w:type="dxa"/>
                  <w:gridSpan w:val="2"/>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SS</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《水质 悬浮物的测定重量法》（GB 11901-89）</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FA2004电子天平</w:t>
                  </w:r>
                </w:p>
              </w:tc>
              <w:tc>
                <w:tcPr>
                  <w:tcW w:w="1049"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8" w:type="dxa"/>
                  <w:vMerge w:val="continue"/>
                  <w:tcBorders>
                    <w:tl2br w:val="nil"/>
                    <w:tr2bl w:val="nil"/>
                  </w:tcBorders>
                  <w:vAlign w:val="center"/>
                </w:tcPr>
                <w:p>
                  <w:pPr>
                    <w:pStyle w:val="2"/>
                    <w:jc w:val="center"/>
                    <w:rPr>
                      <w:rFonts w:hint="default" w:ascii="Times New Roman" w:hAnsi="Times New Roman" w:cs="Times New Roman"/>
                      <w:b/>
                      <w:bCs/>
                      <w:sz w:val="21"/>
                      <w:szCs w:val="21"/>
                    </w:rPr>
                  </w:pPr>
                </w:p>
              </w:tc>
              <w:tc>
                <w:tcPr>
                  <w:tcW w:w="1369" w:type="dxa"/>
                  <w:gridSpan w:val="2"/>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动植物油</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《水质 石油类和动植物油类的测定 红外分光光度法》（HJ 637-2018）</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OIL460红外分光测油仪</w:t>
                  </w:r>
                </w:p>
              </w:tc>
              <w:tc>
                <w:tcPr>
                  <w:tcW w:w="1049"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0.06mg/L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698" w:type="dxa"/>
                  <w:vMerge w:val="continue"/>
                  <w:tcBorders>
                    <w:tl2br w:val="nil"/>
                    <w:tr2bl w:val="nil"/>
                  </w:tcBorders>
                  <w:vAlign w:val="center"/>
                </w:tcPr>
                <w:p>
                  <w:pPr>
                    <w:pStyle w:val="2"/>
                    <w:jc w:val="center"/>
                    <w:rPr>
                      <w:rFonts w:hint="default" w:ascii="Times New Roman" w:hAnsi="Times New Roman" w:cs="Times New Roman"/>
                      <w:b/>
                      <w:bCs/>
                      <w:sz w:val="21"/>
                      <w:szCs w:val="21"/>
                    </w:rPr>
                  </w:pPr>
                </w:p>
              </w:tc>
              <w:tc>
                <w:tcPr>
                  <w:tcW w:w="1369" w:type="dxa"/>
                  <w:gridSpan w:val="2"/>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石油类</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《水质 石油类和动植物油类的测定 红外分光光度法》（HJ 637-2018）</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OIL460红外分光测油仪</w:t>
                  </w:r>
                </w:p>
              </w:tc>
              <w:tc>
                <w:tcPr>
                  <w:tcW w:w="1049"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0.06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8" w:type="dxa"/>
                  <w:vMerge w:val="continue"/>
                  <w:tcBorders>
                    <w:tl2br w:val="nil"/>
                    <w:tr2bl w:val="nil"/>
                  </w:tcBorders>
                  <w:vAlign w:val="center"/>
                </w:tcPr>
                <w:p>
                  <w:pPr>
                    <w:pStyle w:val="2"/>
                    <w:jc w:val="center"/>
                    <w:rPr>
                      <w:rFonts w:hint="default" w:ascii="Times New Roman" w:hAnsi="Times New Roman" w:cs="Times New Roman"/>
                      <w:b/>
                      <w:bCs/>
                      <w:sz w:val="21"/>
                      <w:szCs w:val="21"/>
                    </w:rPr>
                  </w:pPr>
                </w:p>
              </w:tc>
              <w:tc>
                <w:tcPr>
                  <w:tcW w:w="1369" w:type="dxa"/>
                  <w:gridSpan w:val="2"/>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总磷</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《水质 总磷的测定 钼酸铵分光光度法》 （GB 11893−89）</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721可见分光光度计</w:t>
                  </w:r>
                </w:p>
              </w:tc>
              <w:tc>
                <w:tcPr>
                  <w:tcW w:w="1049" w:type="dxa"/>
                  <w:tcBorders>
                    <w:tl2br w:val="nil"/>
                    <w:tr2bl w:val="nil"/>
                  </w:tcBorders>
                  <w:vAlign w:val="center"/>
                </w:tcPr>
                <w:p>
                  <w:pPr>
                    <w:spacing w:line="240" w:lineRule="auto"/>
                    <w:jc w:val="center"/>
                    <w:rPr>
                      <w:rFonts w:ascii="Times New Roman" w:hAnsi="Times New Roman" w:cs="Times New Roman"/>
                      <w:szCs w:val="21"/>
                    </w:rPr>
                  </w:pPr>
                  <w:r>
                    <w:rPr>
                      <w:rFonts w:ascii="Times New Roman" w:hAnsi="Times New Roman" w:cs="Times New Roman"/>
                      <w:szCs w:val="21"/>
                    </w:rPr>
                    <w:t>0.01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8" w:type="dxa"/>
                  <w:vMerge w:val="restart"/>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499" w:type="dxa"/>
                  <w:vMerge w:val="restart"/>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无组织</w:t>
                  </w:r>
                </w:p>
              </w:tc>
              <w:tc>
                <w:tcPr>
                  <w:tcW w:w="870"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3323" w:type="dxa"/>
                  <w:tcBorders>
                    <w:tl2br w:val="nil"/>
                    <w:tr2bl w:val="nil"/>
                  </w:tcBorders>
                  <w:vAlign w:val="center"/>
                </w:tcPr>
                <w:p>
                  <w:pPr>
                    <w:spacing w:line="240" w:lineRule="auto"/>
                    <w:jc w:val="center"/>
                    <w:rPr>
                      <w:rFonts w:ascii="Times New Roman" w:hAnsi="Times New Roman" w:cs="Times New Roman"/>
                      <w:b/>
                      <w:bCs/>
                      <w:szCs w:val="21"/>
                    </w:rPr>
                  </w:pPr>
                  <w:r>
                    <w:rPr>
                      <w:rFonts w:ascii="Times New Roman" w:hAnsi="Times New Roman" w:cs="Times New Roman"/>
                      <w:szCs w:val="21"/>
                    </w:rPr>
                    <w:t>《环境空气总悬浮颗粒物的测定 重量法》 (GB/T 15432-1995)</w:t>
                  </w:r>
                </w:p>
              </w:tc>
              <w:tc>
                <w:tcPr>
                  <w:tcW w:w="1857" w:type="dxa"/>
                  <w:tcBorders>
                    <w:tl2br w:val="nil"/>
                    <w:tr2bl w:val="nil"/>
                  </w:tcBorders>
                  <w:vAlign w:val="center"/>
                </w:tcPr>
                <w:p>
                  <w:pPr>
                    <w:pStyle w:val="2"/>
                    <w:jc w:val="center"/>
                    <w:rPr>
                      <w:rFonts w:hint="default" w:ascii="Times New Roman" w:hAnsi="Times New Roman" w:cs="Times New Roman"/>
                      <w:b/>
                      <w:bCs/>
                      <w:sz w:val="21"/>
                      <w:szCs w:val="21"/>
                    </w:rPr>
                  </w:pPr>
                  <w:bookmarkStart w:id="13" w:name="OLE_LINK13"/>
                  <w:r>
                    <w:rPr>
                      <w:rFonts w:hint="default" w:ascii="Times New Roman" w:hAnsi="Times New Roman" w:cs="Times New Roman"/>
                      <w:sz w:val="21"/>
                      <w:szCs w:val="21"/>
                    </w:rPr>
                    <w:t>FA2004电子天平</w:t>
                  </w:r>
                  <w:bookmarkEnd w:id="13"/>
                </w:p>
              </w:tc>
              <w:tc>
                <w:tcPr>
                  <w:tcW w:w="1049" w:type="dxa"/>
                  <w:tcBorders>
                    <w:tl2br w:val="nil"/>
                    <w:tr2bl w:val="nil"/>
                  </w:tcBorders>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w:t>
                  </w:r>
                </w:p>
                <w:p>
                  <w:pPr>
                    <w:pStyle w:val="2"/>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98"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499"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870"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甲苯、</w:t>
                  </w:r>
                </w:p>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二甲苯</w:t>
                  </w:r>
                </w:p>
              </w:tc>
              <w:tc>
                <w:tcPr>
                  <w:tcW w:w="3323" w:type="dxa"/>
                  <w:tcBorders>
                    <w:tl2br w:val="nil"/>
                    <w:tr2bl w:val="nil"/>
                  </w:tcBorders>
                  <w:vAlign w:val="center"/>
                </w:tcPr>
                <w:p>
                  <w:pPr>
                    <w:spacing w:line="240" w:lineRule="auto"/>
                    <w:jc w:val="center"/>
                    <w:rPr>
                      <w:rFonts w:ascii="Times New Roman" w:hAnsi="Times New Roman" w:cs="Times New Roman"/>
                      <w:szCs w:val="21"/>
                    </w:rPr>
                  </w:pPr>
                  <w:r>
                    <w:rPr>
                      <w:rFonts w:ascii="Times New Roman" w:hAnsi="Times New Roman" w:cs="Times New Roman"/>
                      <w:szCs w:val="21"/>
                    </w:rPr>
                    <w:t xml:space="preserve">《环境空气 苯系物的测定 </w:t>
                  </w:r>
                </w:p>
                <w:p>
                  <w:pPr>
                    <w:spacing w:line="240" w:lineRule="auto"/>
                    <w:jc w:val="center"/>
                    <w:rPr>
                      <w:rFonts w:ascii="Times New Roman" w:hAnsi="Times New Roman" w:cs="Times New Roman"/>
                      <w:szCs w:val="21"/>
                    </w:rPr>
                  </w:pPr>
                  <w:r>
                    <w:rPr>
                      <w:rFonts w:ascii="Times New Roman" w:hAnsi="Times New Roman" w:cs="Times New Roman"/>
                      <w:szCs w:val="21"/>
                    </w:rPr>
                    <w:t>固体吸附/热脱附—气相色谱法》（HJ 583-2010）</w:t>
                  </w:r>
                </w:p>
              </w:tc>
              <w:tc>
                <w:tcPr>
                  <w:tcW w:w="1857" w:type="dxa"/>
                  <w:tcBorders>
                    <w:tl2br w:val="nil"/>
                    <w:tr2bl w:val="nil"/>
                  </w:tcBorders>
                  <w:vAlign w:val="center"/>
                </w:tcPr>
                <w:p>
                  <w:pPr>
                    <w:spacing w:line="240" w:lineRule="auto"/>
                    <w:jc w:val="center"/>
                    <w:rPr>
                      <w:rFonts w:ascii="Times New Roman" w:hAnsi="Times New Roman" w:cs="Times New Roman"/>
                      <w:szCs w:val="21"/>
                    </w:rPr>
                  </w:pPr>
                  <w:r>
                    <w:rPr>
                      <w:rFonts w:ascii="Times New Roman" w:hAnsi="Times New Roman" w:cs="Times New Roman"/>
                      <w:szCs w:val="21"/>
                    </w:rPr>
                    <w:t>GC7820 气相色谱仪</w:t>
                  </w:r>
                </w:p>
              </w:tc>
              <w:tc>
                <w:tcPr>
                  <w:tcW w:w="1049" w:type="dxa"/>
                  <w:tcBorders>
                    <w:tl2br w:val="nil"/>
                    <w:tr2bl w:val="nil"/>
                  </w:tcBorders>
                  <w:vAlign w:val="center"/>
                </w:tcPr>
                <w:p>
                  <w:pPr>
                    <w:spacing w:line="240" w:lineRule="auto"/>
                    <w:jc w:val="center"/>
                    <w:rPr>
                      <w:rFonts w:ascii="Times New Roman" w:hAnsi="Times New Roman" w:cs="Times New Roman"/>
                      <w:szCs w:val="21"/>
                    </w:rPr>
                  </w:pPr>
                  <w:r>
                    <w:rPr>
                      <w:rFonts w:ascii="Times New Roman" w:hAnsi="Times New Roman" w:cs="Times New Roman"/>
                      <w:szCs w:val="21"/>
                    </w:rPr>
                    <w:t>0.0005</w:t>
                  </w:r>
                </w:p>
                <w:p>
                  <w:pPr>
                    <w:spacing w:line="240" w:lineRule="auto"/>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98"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499"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870"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bCs/>
                      <w:sz w:val="21"/>
                      <w:szCs w:val="21"/>
                    </w:rPr>
                    <w:t>VOCs（以非甲烷总烃计）</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《固定污染源排气中非甲烷总烃的测定 气相色谱法》</w:t>
                  </w:r>
                </w:p>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（HJ/T 38-1999 ）</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GC2060 气相色谱仪</w:t>
                  </w:r>
                </w:p>
              </w:tc>
              <w:tc>
                <w:tcPr>
                  <w:tcW w:w="1049"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0.07</w:t>
                  </w:r>
                </w:p>
                <w:p>
                  <w:pPr>
                    <w:pStyle w:val="2"/>
                    <w:jc w:val="center"/>
                    <w:rPr>
                      <w:rFonts w:hint="default" w:ascii="Times New Roman" w:hAnsi="Times New Roman" w:cs="Times New Roman"/>
                      <w:color w:val="FF0000"/>
                      <w:sz w:val="21"/>
                      <w:szCs w:val="21"/>
                    </w:rPr>
                  </w:pPr>
                  <w:r>
                    <w:rPr>
                      <w:rFonts w:hint="default" w:ascii="Times New Roman" w:hAnsi="Times New Roman" w:cs="Times New Roman"/>
                      <w:kern w:val="2"/>
                      <w:sz w:val="21"/>
                      <w:szCs w:val="21"/>
                    </w:rPr>
                    <w:t>mg/m</w:t>
                  </w:r>
                  <w:r>
                    <w:rPr>
                      <w:rFonts w:hint="default" w:ascii="Times New Roman" w:hAnsi="Times New Roman" w:cs="Times New Roman"/>
                      <w:kern w:val="2"/>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8"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499" w:type="dxa"/>
                  <w:vMerge w:val="restart"/>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有组织</w:t>
                  </w:r>
                </w:p>
              </w:tc>
              <w:tc>
                <w:tcPr>
                  <w:tcW w:w="870"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甲苯、</w:t>
                  </w:r>
                </w:p>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二甲苯</w:t>
                  </w:r>
                </w:p>
              </w:tc>
              <w:tc>
                <w:tcPr>
                  <w:tcW w:w="3323" w:type="dxa"/>
                  <w:tcBorders>
                    <w:tl2br w:val="nil"/>
                    <w:tr2bl w:val="nil"/>
                  </w:tcBorders>
                  <w:vAlign w:val="center"/>
                </w:tcPr>
                <w:p>
                  <w:pPr>
                    <w:spacing w:line="240" w:lineRule="auto"/>
                    <w:jc w:val="center"/>
                    <w:rPr>
                      <w:rFonts w:ascii="Times New Roman" w:hAnsi="Times New Roman" w:cs="Times New Roman"/>
                      <w:szCs w:val="21"/>
                    </w:rPr>
                  </w:pPr>
                  <w:r>
                    <w:rPr>
                      <w:rFonts w:ascii="Times New Roman" w:hAnsi="Times New Roman" w:cs="Times New Roman"/>
                      <w:szCs w:val="21"/>
                    </w:rPr>
                    <w:t xml:space="preserve">《环境空气 苯系物的测定 </w:t>
                  </w:r>
                </w:p>
                <w:p>
                  <w:pPr>
                    <w:spacing w:line="240" w:lineRule="auto"/>
                    <w:jc w:val="center"/>
                    <w:rPr>
                      <w:rFonts w:ascii="Times New Roman" w:hAnsi="Times New Roman" w:cs="Times New Roman"/>
                      <w:szCs w:val="21"/>
                    </w:rPr>
                  </w:pPr>
                  <w:r>
                    <w:rPr>
                      <w:rFonts w:ascii="Times New Roman" w:hAnsi="Times New Roman" w:cs="Times New Roman"/>
                      <w:szCs w:val="21"/>
                    </w:rPr>
                    <w:t>固体吸附/热脱附—气相色谱法》（HJ 583-2010）</w:t>
                  </w:r>
                </w:p>
              </w:tc>
              <w:tc>
                <w:tcPr>
                  <w:tcW w:w="1857" w:type="dxa"/>
                  <w:tcBorders>
                    <w:tl2br w:val="nil"/>
                    <w:tr2bl w:val="nil"/>
                  </w:tcBorders>
                  <w:vAlign w:val="center"/>
                </w:tcPr>
                <w:p>
                  <w:pPr>
                    <w:spacing w:line="240" w:lineRule="auto"/>
                    <w:jc w:val="center"/>
                    <w:rPr>
                      <w:rFonts w:ascii="Times New Roman" w:hAnsi="Times New Roman" w:cs="Times New Roman"/>
                      <w:szCs w:val="21"/>
                    </w:rPr>
                  </w:pPr>
                  <w:r>
                    <w:rPr>
                      <w:rFonts w:ascii="Times New Roman" w:hAnsi="Times New Roman" w:cs="Times New Roman"/>
                      <w:szCs w:val="21"/>
                    </w:rPr>
                    <w:t>GC7820 气相色谱仪</w:t>
                  </w:r>
                </w:p>
              </w:tc>
              <w:tc>
                <w:tcPr>
                  <w:tcW w:w="1049" w:type="dxa"/>
                  <w:tcBorders>
                    <w:tl2br w:val="nil"/>
                    <w:tr2bl w:val="nil"/>
                  </w:tcBorders>
                  <w:vAlign w:val="center"/>
                </w:tcPr>
                <w:p>
                  <w:pPr>
                    <w:spacing w:line="240" w:lineRule="auto"/>
                    <w:jc w:val="center"/>
                    <w:rPr>
                      <w:rFonts w:ascii="Times New Roman" w:hAnsi="Times New Roman" w:cs="Times New Roman"/>
                      <w:szCs w:val="21"/>
                    </w:rPr>
                  </w:pPr>
                  <w:r>
                    <w:rPr>
                      <w:rFonts w:ascii="Times New Roman" w:hAnsi="Times New Roman" w:cs="Times New Roman"/>
                      <w:szCs w:val="21"/>
                    </w:rPr>
                    <w:t>0.0005</w:t>
                  </w:r>
                </w:p>
                <w:p>
                  <w:pPr>
                    <w:spacing w:line="240" w:lineRule="auto"/>
                    <w:jc w:val="center"/>
                    <w:rPr>
                      <w:rFonts w:ascii="Times New Roman" w:hAnsi="Times New Roman" w:cs="Times New Roman"/>
                      <w:sz w:val="24"/>
                    </w:rPr>
                  </w:pPr>
                  <w:r>
                    <w:rPr>
                      <w:rFonts w:ascii="Times New Roman" w:hAnsi="Times New Roman" w:cs="Times New Roman"/>
                      <w:szCs w:val="21"/>
                    </w:rPr>
                    <w:t>mg/m</w:t>
                  </w:r>
                  <w:r>
                    <w:rPr>
                      <w:rFonts w:ascii="Times New Roman" w:hAnsi="Times New Roman" w:cs="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98"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499"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870"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bCs/>
                      <w:sz w:val="21"/>
                      <w:szCs w:val="21"/>
                    </w:rPr>
                    <w:t>VOCs（以非甲烷总烃计）</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《固定污染源排气中非甲烷总烃的测定 气相色谱法》（HJ/T 38-1999 ）</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GC2060 气相色谱仪</w:t>
                  </w:r>
                </w:p>
              </w:tc>
              <w:tc>
                <w:tcPr>
                  <w:tcW w:w="1049"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0.07</w:t>
                  </w:r>
                </w:p>
                <w:p>
                  <w:pPr>
                    <w:pStyle w:val="2"/>
                    <w:jc w:val="center"/>
                    <w:rPr>
                      <w:rFonts w:hint="default" w:ascii="Times New Roman" w:hAnsi="Times New Roman" w:cs="Times New Roman"/>
                      <w:kern w:val="2"/>
                      <w:szCs w:val="24"/>
                    </w:rPr>
                  </w:pPr>
                  <w:r>
                    <w:rPr>
                      <w:rFonts w:hint="default" w:ascii="Times New Roman" w:hAnsi="Times New Roman" w:cs="Times New Roman"/>
                      <w:kern w:val="2"/>
                      <w:sz w:val="21"/>
                      <w:szCs w:val="21"/>
                    </w:rPr>
                    <w:t>mg/m</w:t>
                  </w:r>
                  <w:r>
                    <w:rPr>
                      <w:rFonts w:hint="default" w:ascii="Times New Roman" w:hAnsi="Times New Roman" w:cs="Times New Roman"/>
                      <w:kern w:val="2"/>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98"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499"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870" w:type="dxa"/>
                  <w:tcBorders>
                    <w:tl2br w:val="nil"/>
                    <w:tr2bl w:val="nil"/>
                  </w:tcBorders>
                  <w:vAlign w:val="center"/>
                </w:tcPr>
                <w:p>
                  <w:pPr>
                    <w:pStyle w:val="2"/>
                    <w:jc w:val="center"/>
                    <w:rPr>
                      <w:rFonts w:hint="default" w:ascii="Times New Roman" w:hAnsi="Times New Roman" w:cs="Times New Roman"/>
                      <w:bCs/>
                      <w:sz w:val="21"/>
                      <w:szCs w:val="21"/>
                    </w:rPr>
                  </w:pPr>
                  <w:r>
                    <w:rPr>
                      <w:rFonts w:hint="default" w:ascii="Times New Roman" w:hAnsi="Times New Roman" w:cs="Times New Roman"/>
                      <w:bCs/>
                      <w:sz w:val="21"/>
                      <w:szCs w:val="21"/>
                    </w:rPr>
                    <w:t>颗粒物</w:t>
                  </w:r>
                </w:p>
              </w:tc>
              <w:tc>
                <w:tcPr>
                  <w:tcW w:w="3323"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sz w:val="21"/>
                      <w:szCs w:val="21"/>
                    </w:rPr>
                    <w:t>《固定污染源排气中颗粒物测定与气态污染物采样方法》（GB/T 16157-1996）</w:t>
                  </w:r>
                </w:p>
              </w:tc>
              <w:tc>
                <w:tcPr>
                  <w:tcW w:w="1857"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FA2004</w:t>
                  </w:r>
                  <w:r>
                    <w:rPr>
                      <w:rFonts w:hint="default" w:ascii="Times New Roman" w:hAnsi="Times New Roman" w:cs="Times New Roman"/>
                      <w:sz w:val="21"/>
                      <w:szCs w:val="21"/>
                    </w:rPr>
                    <w:t>电子天平</w:t>
                  </w:r>
                </w:p>
              </w:tc>
              <w:tc>
                <w:tcPr>
                  <w:tcW w:w="1049" w:type="dxa"/>
                  <w:tcBorders>
                    <w:tl2br w:val="nil"/>
                    <w:tr2bl w:val="nil"/>
                  </w:tcBorders>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sz w:val="21"/>
                      <w:szCs w:val="21"/>
                    </w:rPr>
                    <w:t>0.001mg/m</w:t>
                  </w:r>
                  <w:r>
                    <w:rPr>
                      <w:rFonts w:hint="default" w:ascii="Times New Roman" w:hAnsi="Times New Roman"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98" w:type="dxa"/>
                  <w:tcBorders>
                    <w:tl2br w:val="nil"/>
                    <w:tr2bl w:val="nil"/>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sz w:val="21"/>
                      <w:szCs w:val="21"/>
                    </w:rPr>
                    <w:t>噪声</w:t>
                  </w:r>
                </w:p>
              </w:tc>
              <w:tc>
                <w:tcPr>
                  <w:tcW w:w="1369" w:type="dxa"/>
                  <w:gridSpan w:val="2"/>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厂界噪声</w:t>
                  </w:r>
                </w:p>
              </w:tc>
              <w:tc>
                <w:tcPr>
                  <w:tcW w:w="3323" w:type="dxa"/>
                  <w:tcBorders>
                    <w:tl2br w:val="nil"/>
                    <w:tr2bl w:val="nil"/>
                  </w:tcBorders>
                  <w:vAlign w:val="center"/>
                </w:tcPr>
                <w:p>
                  <w:pPr>
                    <w:spacing w:line="240" w:lineRule="auto"/>
                    <w:jc w:val="center"/>
                    <w:rPr>
                      <w:rFonts w:ascii="Times New Roman" w:hAnsi="Times New Roman" w:cs="Times New Roman"/>
                      <w:b/>
                      <w:bCs/>
                      <w:szCs w:val="21"/>
                    </w:rPr>
                  </w:pPr>
                  <w:r>
                    <w:fldChar w:fldCharType="begin"/>
                  </w:r>
                  <w:r>
                    <w:instrText xml:space="preserve"> HYPERLINK "http://www.mep.gov.cn/tech/hjbz/bzwb/wlhj/hjzspfbz/200809/t20080918_128936.htm" \t "_self" </w:instrText>
                  </w:r>
                  <w:r>
                    <w:fldChar w:fldCharType="separate"/>
                  </w:r>
                  <w:r>
                    <w:rPr>
                      <w:rFonts w:ascii="Times New Roman" w:hAnsi="Times New Roman" w:cs="Times New Roman"/>
                      <w:szCs w:val="21"/>
                    </w:rPr>
                    <w:t>工业企业厂界环境噪声排放标准</w:t>
                  </w:r>
                  <w:r>
                    <w:rPr>
                      <w:rFonts w:ascii="Times New Roman" w:hAnsi="Times New Roman" w:cs="Times New Roman"/>
                      <w:szCs w:val="21"/>
                    </w:rPr>
                    <w:fldChar w:fldCharType="end"/>
                  </w:r>
                  <w:r>
                    <w:rPr>
                      <w:rFonts w:ascii="Times New Roman" w:hAnsi="Times New Roman" w:cs="Times New Roman"/>
                      <w:szCs w:val="21"/>
                    </w:rPr>
                    <w:t>（GB 12348-2008）</w:t>
                  </w:r>
                </w:p>
              </w:tc>
              <w:tc>
                <w:tcPr>
                  <w:tcW w:w="1857" w:type="dxa"/>
                  <w:tcBorders>
                    <w:tl2br w:val="nil"/>
                    <w:tr2bl w:val="nil"/>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sz w:val="21"/>
                      <w:szCs w:val="21"/>
                    </w:rPr>
                    <w:t>AWA6228多功能声级计（1010338）</w:t>
                  </w:r>
                </w:p>
              </w:tc>
              <w:tc>
                <w:tcPr>
                  <w:tcW w:w="1049" w:type="dxa"/>
                  <w:tcBorders>
                    <w:tl2br w:val="nil"/>
                    <w:tr2bl w:val="nil"/>
                  </w:tcBorders>
                  <w:vAlign w:val="center"/>
                </w:tcPr>
                <w:p>
                  <w:pPr>
                    <w:pStyle w:val="2"/>
                    <w:jc w:val="center"/>
                    <w:rPr>
                      <w:rFonts w:hint="default" w:ascii="Times New Roman" w:hAnsi="Times New Roman" w:cs="Times New Roman"/>
                      <w:b/>
                      <w:bCs/>
                      <w:sz w:val="21"/>
                      <w:szCs w:val="21"/>
                    </w:rPr>
                  </w:pPr>
                  <w:r>
                    <w:rPr>
                      <w:rFonts w:hint="default" w:ascii="Times New Roman" w:hAnsi="Times New Roman" w:cs="Times New Roman"/>
                      <w:sz w:val="21"/>
                      <w:szCs w:val="21"/>
                    </w:rPr>
                    <w:t>——</w:t>
                  </w:r>
                </w:p>
              </w:tc>
            </w:tr>
          </w:tbl>
          <w:p>
            <w:pPr>
              <w:pStyle w:val="2"/>
              <w:rPr>
                <w:rFonts w:hint="default" w:ascii="Times New Roman" w:hAnsi="Times New Roman" w:cs="Times New Roman"/>
                <w:b/>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522" w:type="dxa"/>
          </w:tcPr>
          <w:p>
            <w:pPr>
              <w:pStyle w:val="2"/>
              <w:rPr>
                <w:rFonts w:hint="default"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4" w:hRule="atLeast"/>
        </w:trPr>
        <w:tc>
          <w:tcPr>
            <w:tcW w:w="8522" w:type="dxa"/>
          </w:tcPr>
          <w:p>
            <w:pPr>
              <w:jc w:val="left"/>
              <w:rPr>
                <w:rFonts w:ascii="Times New Roman" w:hAnsi="Times New Roman" w:cs="Times New Roman" w:eastAsiaTheme="minorEastAsia"/>
                <w:b/>
                <w:sz w:val="24"/>
              </w:rPr>
            </w:pPr>
            <w:r>
              <w:rPr>
                <w:rFonts w:ascii="Times New Roman" w:hAnsi="Times New Roman" w:cs="Times New Roman" w:eastAsiaTheme="minorEastAsia"/>
                <w:b/>
                <w:sz w:val="24"/>
              </w:rPr>
              <w:t>8.3、监测布点</w:t>
            </w:r>
          </w:p>
          <w:p>
            <w:pPr>
              <w:pStyle w:val="2"/>
              <w:rPr>
                <w:rFonts w:hint="default" w:ascii="Times New Roman" w:hAnsi="Times New Roman" w:cs="Times New Roman"/>
              </w:rPr>
            </w:pPr>
            <w:r>
              <w:rPr>
                <w:rFonts w:hint="default" w:ascii="Times New Roman" w:hAnsi="Times New Roman" w:cs="Times New Roman"/>
              </w:rPr>
              <w:drawing>
                <wp:inline distT="0" distB="0" distL="114300" distR="114300">
                  <wp:extent cx="5273040" cy="3520440"/>
                  <wp:effectExtent l="0" t="0" r="381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tretch>
                            <a:fillRect/>
                          </a:stretch>
                        </pic:blipFill>
                        <pic:spPr>
                          <a:xfrm>
                            <a:off x="0" y="0"/>
                            <a:ext cx="5273040" cy="3520440"/>
                          </a:xfrm>
                          <a:prstGeom prst="rect">
                            <a:avLst/>
                          </a:prstGeom>
                          <a:noFill/>
                          <a:ln>
                            <a:noFill/>
                          </a:ln>
                        </pic:spPr>
                      </pic:pic>
                    </a:graphicData>
                  </a:graphic>
                </wp:inline>
              </w:drawing>
            </w:r>
          </w:p>
          <w:p>
            <w:pPr>
              <w:pStyle w:val="2"/>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图8.3-1监测点位附图</w:t>
            </w:r>
          </w:p>
          <w:p>
            <w:pPr>
              <w:pStyle w:val="8"/>
              <w:rPr>
                <w:rFonts w:ascii="Times New Roman" w:hAnsi="Times New Roman" w:cs="Times New Roman"/>
              </w:rPr>
            </w:pPr>
            <w:r>
              <w:rPr>
                <w:rFonts w:ascii="Times New Roman" w:hAnsi="Times New Roman" w:cs="Times New Roman"/>
                <w:szCs w:val="21"/>
              </w:rPr>
              <w:pict>
                <v:shape id="_x0000_s1027" o:spid="_x0000_s1027" o:spt="202" type="#_x0000_t202" style="position:absolute;left:0pt;margin-left:158.4pt;margin-top:60.9pt;height:18.8pt;width:34.7pt;z-index:252357632;mso-width-relative:page;mso-height-relative:page;" fillcolor="#FFFFFF" filled="t" stroked="f" coordsize="21600,21600" o:gfxdata="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MS81gAAAAsBAAAPAAAAAAAAAAEAIAAAACIAAABk&#10;cnMvZG93bnJldi54bWxQSwECFAAUAAAACACHTuJAI75dAUECAABOBAAADgAAAAAAAAABACAAAAAl&#10;AQAAZHJzL2Uyb0RvYy54bWxQSwUGAAAAAAYABgBZAQAA2AUAAAAA&#10;">
                  <v:path/>
                  <v:fill on="t" focussize="0,0"/>
                  <v:stroke on="f" weight="0.5pt" joinstyle="miter"/>
                  <v:imagedata o:title=""/>
                  <o:lock v:ext="edit"/>
                  <v:textbox>
                    <w:txbxContent>
                      <w:p/>
                    </w:txbxContent>
                  </v:textbox>
                </v:shape>
              </w:pict>
            </w:r>
            <w:r>
              <w:rPr>
                <w:rFonts w:ascii="Times New Roman" w:hAnsi="Times New Roman" w:cs="Times New Roman"/>
                <w:szCs w:val="21"/>
              </w:rPr>
              <w:t>布点说明：</w:t>
            </w:r>
            <w:r>
              <w:rPr>
                <w:rFonts w:ascii="Times New Roman" w:hAnsi="Times New Roman" w:cs="Times New Roman"/>
                <w:sz w:val="28"/>
                <w:szCs w:val="28"/>
              </w:rPr>
              <w:t>○</w:t>
            </w:r>
            <w:r>
              <w:rPr>
                <w:rFonts w:ascii="Times New Roman" w:hAnsi="Times New Roman" w:cs="Times New Roman"/>
                <w:szCs w:val="21"/>
              </w:rPr>
              <w:t>为无组织废气采样点位，◎</w:t>
            </w:r>
            <w:r>
              <w:rPr>
                <w:rFonts w:ascii="Times New Roman" w:hAnsi="Times New Roman" w:cs="Times New Roman"/>
                <w:bCs/>
                <w:szCs w:val="21"/>
              </w:rPr>
              <w:t>为有组织废气采样点位，★为废水采样点位,</w:t>
            </w:r>
            <w:r>
              <w:rPr>
                <w:rFonts w:ascii="Times New Roman" w:hAnsi="Times New Roman" w:cs="Times New Roman"/>
                <w:szCs w:val="21"/>
              </w:rPr>
              <w:t>▲为噪声</w:t>
            </w:r>
            <w:r>
              <w:rPr>
                <w:rFonts w:hint="eastAsia" w:ascii="Times New Roman" w:hAnsi="Times New Roman" w:cs="Times New Roman"/>
                <w:szCs w:val="21"/>
                <w:lang w:eastAsia="zh-CN"/>
              </w:rPr>
              <w:t>监测</w:t>
            </w:r>
            <w:r>
              <w:rPr>
                <w:rFonts w:ascii="Times New Roman" w:hAnsi="Times New Roman" w:cs="Times New Roman"/>
                <w:szCs w:val="21"/>
              </w:rPr>
              <w:t>点位</w:t>
            </w:r>
            <w:r>
              <w:rPr>
                <w:rFonts w:ascii="Times New Roman" w:hAnsi="Times New Roman" w:cs="Times New Roman"/>
                <w:bCs/>
                <w:szCs w:val="21"/>
              </w:rPr>
              <w:t>。</w:t>
            </w:r>
          </w:p>
          <w:p>
            <w:pPr>
              <w:pStyle w:val="26"/>
              <w:ind w:firstLine="0" w:firstLineChars="0"/>
              <w:rPr>
                <w:rFonts w:ascii="Times New Roman" w:hAnsi="Times New Roman" w:cs="Times New Roman"/>
              </w:rPr>
            </w:pPr>
          </w:p>
        </w:tc>
      </w:tr>
    </w:tbl>
    <w:p>
      <w:pPr>
        <w:rPr>
          <w:rFonts w:ascii="Times New Roman" w:hAnsi="Times New Roman" w:cs="Times New Roman"/>
        </w:rPr>
      </w:pPr>
    </w:p>
    <w:p>
      <w:pPr>
        <w:pStyle w:val="8"/>
        <w:jc w:val="center"/>
        <w:outlineLvl w:val="0"/>
        <w:rPr>
          <w:rFonts w:ascii="Times New Roman" w:hAnsi="Times New Roman" w:cs="Times New Roman" w:eastAsiaTheme="majorEastAsia"/>
          <w:b/>
          <w:bCs/>
          <w:sz w:val="28"/>
          <w:szCs w:val="28"/>
        </w:rPr>
      </w:pPr>
      <w:r>
        <w:rPr>
          <w:rFonts w:ascii="Times New Roman" w:hAnsi="Times New Roman" w:cs="Times New Roman" w:eastAsiaTheme="majorEastAsia"/>
          <w:b/>
          <w:bCs/>
          <w:sz w:val="28"/>
          <w:szCs w:val="28"/>
        </w:rPr>
        <w:t>表九 验收监测结果</w:t>
      </w:r>
    </w:p>
    <w:tbl>
      <w:tblPr>
        <w:tblStyle w:val="17"/>
        <w:tblW w:w="8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2" w:hRule="atLeast"/>
        </w:trPr>
        <w:tc>
          <w:tcPr>
            <w:tcW w:w="8474" w:type="dxa"/>
          </w:tcPr>
          <w:p>
            <w:pPr>
              <w:spacing w:line="384" w:lineRule="auto"/>
              <w:jc w:val="left"/>
              <w:rPr>
                <w:rFonts w:ascii="Times New Roman" w:hAnsi="Times New Roman" w:cs="Times New Roman"/>
                <w:b/>
                <w:bCs/>
                <w:sz w:val="24"/>
              </w:rPr>
            </w:pPr>
            <w:r>
              <w:rPr>
                <w:rFonts w:ascii="Times New Roman" w:hAnsi="Times New Roman" w:cs="Times New Roman"/>
                <w:b/>
                <w:bCs/>
                <w:sz w:val="24"/>
              </w:rPr>
              <w:t>9.1、验收监测期间生产工况记录</w:t>
            </w:r>
          </w:p>
          <w:p>
            <w:pPr>
              <w:ind w:firstLine="480" w:firstLineChars="200"/>
              <w:jc w:val="left"/>
              <w:rPr>
                <w:rFonts w:ascii="Times New Roman" w:hAnsi="Times New Roman" w:cs="Times New Roman"/>
                <w:sz w:val="24"/>
              </w:rPr>
            </w:pPr>
            <w:r>
              <w:rPr>
                <w:rFonts w:ascii="Times New Roman" w:hAnsi="Times New Roman" w:cs="Times New Roman"/>
                <w:sz w:val="24"/>
              </w:rPr>
              <w:t>咸宁黄浦丰田汽车销售服务有限公司咸宁一汽丰田4S店项目建成后，湖北省公信检测服务有限公司于2020年5月17日-</w:t>
            </w:r>
            <w:r>
              <w:rPr>
                <w:rFonts w:hint="eastAsia" w:ascii="Times New Roman" w:hAnsi="Times New Roman" w:cs="Times New Roman"/>
                <w:sz w:val="24"/>
              </w:rPr>
              <w:t>5</w:t>
            </w:r>
            <w:r>
              <w:rPr>
                <w:rFonts w:ascii="Times New Roman" w:hAnsi="Times New Roman" w:cs="Times New Roman"/>
                <w:sz w:val="24"/>
              </w:rPr>
              <w:t>月18日对咸宁黄浦丰田汽车销售服务有限公司4S项目进行了为期两天的现场验收监测。</w:t>
            </w:r>
          </w:p>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表9.1-1验收期间工况负荷表</w:t>
            </w:r>
          </w:p>
          <w:tbl>
            <w:tblPr>
              <w:tblStyle w:val="17"/>
              <w:tblW w:w="825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087"/>
              <w:gridCol w:w="1575"/>
              <w:gridCol w:w="1575"/>
              <w:gridCol w:w="1675"/>
              <w:gridCol w:w="1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85" w:type="dxa"/>
                  <w:vMerge w:val="restart"/>
                  <w:vAlign w:val="center"/>
                </w:tcPr>
                <w:p>
                  <w:pPr>
                    <w:pStyle w:val="2"/>
                    <w:jc w:val="center"/>
                    <w:rPr>
                      <w:rFonts w:hint="default" w:ascii="Times New Roman" w:hAnsi="Times New Roman" w:cs="Times New Roman" w:eastAsiaTheme="minorEastAsia"/>
                      <w:b/>
                      <w:bCs/>
                      <w:color w:val="000000" w:themeColor="text1"/>
                      <w:sz w:val="21"/>
                      <w:szCs w:val="21"/>
                    </w:rPr>
                  </w:pPr>
                  <w:r>
                    <w:rPr>
                      <w:rFonts w:hint="default" w:ascii="Times New Roman" w:hAnsi="Times New Roman" w:cs="Times New Roman" w:eastAsiaTheme="minorEastAsia"/>
                      <w:b/>
                      <w:bCs/>
                      <w:color w:val="000000" w:themeColor="text1"/>
                      <w:sz w:val="21"/>
                      <w:szCs w:val="21"/>
                    </w:rPr>
                    <w:t>监测时间</w:t>
                  </w:r>
                </w:p>
              </w:tc>
              <w:tc>
                <w:tcPr>
                  <w:tcW w:w="1087" w:type="dxa"/>
                  <w:vMerge w:val="restart"/>
                  <w:vAlign w:val="center"/>
                </w:tcPr>
                <w:p>
                  <w:pPr>
                    <w:pStyle w:val="2"/>
                    <w:jc w:val="center"/>
                    <w:rPr>
                      <w:rFonts w:hint="default" w:ascii="Times New Roman" w:hAnsi="Times New Roman" w:cs="Times New Roman" w:eastAsiaTheme="minorEastAsia"/>
                      <w:b/>
                      <w:bCs/>
                      <w:color w:val="000000" w:themeColor="text1"/>
                      <w:sz w:val="21"/>
                      <w:szCs w:val="21"/>
                    </w:rPr>
                  </w:pPr>
                  <w:r>
                    <w:rPr>
                      <w:rFonts w:hint="default" w:ascii="Times New Roman" w:hAnsi="Times New Roman" w:cs="Times New Roman" w:eastAsiaTheme="minorEastAsia"/>
                      <w:b/>
                      <w:bCs/>
                      <w:color w:val="000000" w:themeColor="text1"/>
                      <w:sz w:val="21"/>
                      <w:szCs w:val="21"/>
                    </w:rPr>
                    <w:t>产品名称</w:t>
                  </w:r>
                </w:p>
              </w:tc>
              <w:tc>
                <w:tcPr>
                  <w:tcW w:w="3150" w:type="dxa"/>
                  <w:gridSpan w:val="2"/>
                  <w:tcBorders>
                    <w:bottom w:val="single" w:color="auto" w:sz="4" w:space="0"/>
                  </w:tcBorders>
                  <w:vAlign w:val="center"/>
                </w:tcPr>
                <w:p>
                  <w:pPr>
                    <w:pStyle w:val="2"/>
                    <w:jc w:val="center"/>
                    <w:rPr>
                      <w:rFonts w:hint="default" w:ascii="Times New Roman" w:hAnsi="Times New Roman" w:cs="Times New Roman" w:eastAsiaTheme="minorEastAsia"/>
                      <w:b/>
                      <w:bCs/>
                      <w:color w:val="000000" w:themeColor="text1"/>
                      <w:kern w:val="2"/>
                      <w:sz w:val="21"/>
                      <w:szCs w:val="21"/>
                    </w:rPr>
                  </w:pPr>
                  <w:r>
                    <w:rPr>
                      <w:rFonts w:hint="default" w:ascii="Times New Roman" w:hAnsi="Times New Roman" w:cs="Times New Roman" w:eastAsiaTheme="minorEastAsia"/>
                      <w:b/>
                      <w:bCs/>
                      <w:color w:val="000000" w:themeColor="text1"/>
                      <w:kern w:val="2"/>
                      <w:sz w:val="21"/>
                      <w:szCs w:val="21"/>
                    </w:rPr>
                    <w:t>设计</w:t>
                  </w:r>
                  <w:r>
                    <w:rPr>
                      <w:rFonts w:hint="default" w:ascii="Times New Roman" w:hAnsi="Times New Roman" w:cs="Times New Roman" w:eastAsiaTheme="minorEastAsia"/>
                      <w:b/>
                      <w:bCs/>
                      <w:color w:val="000000" w:themeColor="text1"/>
                      <w:sz w:val="21"/>
                      <w:szCs w:val="21"/>
                    </w:rPr>
                    <w:t>维修量</w:t>
                  </w:r>
                </w:p>
              </w:tc>
              <w:tc>
                <w:tcPr>
                  <w:tcW w:w="1675" w:type="dxa"/>
                  <w:vMerge w:val="restart"/>
                  <w:vAlign w:val="center"/>
                </w:tcPr>
                <w:p>
                  <w:pPr>
                    <w:jc w:val="center"/>
                    <w:rPr>
                      <w:rFonts w:ascii="Times New Roman" w:hAnsi="Times New Roman" w:cs="Times New Roman" w:eastAsiaTheme="minorEastAsia"/>
                      <w:b/>
                      <w:bCs/>
                      <w:color w:val="000000" w:themeColor="text1"/>
                      <w:szCs w:val="21"/>
                    </w:rPr>
                  </w:pPr>
                  <w:r>
                    <w:rPr>
                      <w:rFonts w:ascii="Times New Roman" w:hAnsi="Times New Roman" w:cs="Times New Roman" w:eastAsiaTheme="minorEastAsia"/>
                      <w:b/>
                      <w:bCs/>
                      <w:color w:val="000000" w:themeColor="text1"/>
                      <w:szCs w:val="21"/>
                    </w:rPr>
                    <w:t>验收期间维修量（辆/天）</w:t>
                  </w:r>
                </w:p>
              </w:tc>
              <w:tc>
                <w:tcPr>
                  <w:tcW w:w="1162" w:type="dxa"/>
                  <w:vMerge w:val="restart"/>
                  <w:vAlign w:val="center"/>
                </w:tcPr>
                <w:p>
                  <w:pPr>
                    <w:jc w:val="center"/>
                    <w:rPr>
                      <w:rFonts w:ascii="Times New Roman" w:hAnsi="Times New Roman" w:cs="Times New Roman" w:eastAsiaTheme="minorEastAsia"/>
                      <w:b/>
                      <w:bCs/>
                      <w:color w:val="000000" w:themeColor="text1"/>
                      <w:szCs w:val="21"/>
                    </w:rPr>
                  </w:pPr>
                  <w:r>
                    <w:rPr>
                      <w:rFonts w:ascii="Times New Roman" w:hAnsi="Times New Roman" w:cs="Times New Roman" w:eastAsiaTheme="minorEastAsia"/>
                      <w:b/>
                      <w:bCs/>
                      <w:color w:val="000000" w:themeColor="text1"/>
                      <w:szCs w:val="21"/>
                    </w:rPr>
                    <w:t>工况负荷（%）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85" w:type="dxa"/>
                  <w:vMerge w:val="continue"/>
                  <w:tcBorders>
                    <w:bottom w:val="single" w:color="auto" w:sz="12" w:space="0"/>
                  </w:tcBorders>
                  <w:vAlign w:val="center"/>
                </w:tcPr>
                <w:p>
                  <w:pPr>
                    <w:pStyle w:val="2"/>
                    <w:jc w:val="center"/>
                    <w:rPr>
                      <w:rFonts w:hint="default" w:ascii="Times New Roman" w:hAnsi="Times New Roman" w:cs="Times New Roman"/>
                    </w:rPr>
                  </w:pPr>
                </w:p>
              </w:tc>
              <w:tc>
                <w:tcPr>
                  <w:tcW w:w="1087" w:type="dxa"/>
                  <w:vMerge w:val="continue"/>
                  <w:tcBorders>
                    <w:bottom w:val="single" w:color="auto" w:sz="12" w:space="0"/>
                  </w:tcBorders>
                  <w:vAlign w:val="center"/>
                </w:tcPr>
                <w:p>
                  <w:pPr>
                    <w:pStyle w:val="2"/>
                    <w:jc w:val="center"/>
                    <w:rPr>
                      <w:rFonts w:hint="default" w:ascii="Times New Roman" w:hAnsi="Times New Roman" w:cs="Times New Roman"/>
                    </w:rPr>
                  </w:pPr>
                </w:p>
              </w:tc>
              <w:tc>
                <w:tcPr>
                  <w:tcW w:w="1575" w:type="dxa"/>
                  <w:tcBorders>
                    <w:top w:val="single" w:color="auto" w:sz="4" w:space="0"/>
                    <w:bottom w:val="single" w:color="auto" w:sz="12" w:space="0"/>
                  </w:tcBorders>
                  <w:vAlign w:val="center"/>
                </w:tcPr>
                <w:p>
                  <w:pPr>
                    <w:pStyle w:val="2"/>
                    <w:jc w:val="center"/>
                    <w:rPr>
                      <w:rFonts w:hint="default" w:ascii="Times New Roman" w:hAnsi="Times New Roman" w:cs="Times New Roman" w:eastAsiaTheme="minorEastAsia"/>
                      <w:b/>
                      <w:bCs/>
                      <w:color w:val="000000" w:themeColor="text1"/>
                      <w:kern w:val="2"/>
                      <w:sz w:val="21"/>
                      <w:szCs w:val="21"/>
                    </w:rPr>
                  </w:pPr>
                  <w:r>
                    <w:rPr>
                      <w:rFonts w:hint="default" w:ascii="Times New Roman" w:hAnsi="Times New Roman" w:cs="Times New Roman" w:eastAsiaTheme="minorEastAsia"/>
                      <w:b/>
                      <w:bCs/>
                      <w:color w:val="000000" w:themeColor="text1"/>
                      <w:kern w:val="2"/>
                      <w:sz w:val="21"/>
                      <w:szCs w:val="21"/>
                    </w:rPr>
                    <w:t>（辆/年）</w:t>
                  </w:r>
                </w:p>
              </w:tc>
              <w:tc>
                <w:tcPr>
                  <w:tcW w:w="1575" w:type="dxa"/>
                  <w:tcBorders>
                    <w:top w:val="single" w:color="auto" w:sz="4" w:space="0"/>
                    <w:bottom w:val="single" w:color="auto" w:sz="12" w:space="0"/>
                  </w:tcBorders>
                  <w:vAlign w:val="center"/>
                </w:tcPr>
                <w:p>
                  <w:pPr>
                    <w:pStyle w:val="2"/>
                    <w:jc w:val="center"/>
                    <w:rPr>
                      <w:rFonts w:hint="default" w:ascii="Times New Roman" w:hAnsi="Times New Roman" w:cs="Times New Roman" w:eastAsiaTheme="minorEastAsia"/>
                      <w:b/>
                      <w:bCs/>
                      <w:color w:val="000000" w:themeColor="text1"/>
                      <w:kern w:val="2"/>
                      <w:sz w:val="21"/>
                      <w:szCs w:val="21"/>
                    </w:rPr>
                  </w:pPr>
                  <w:r>
                    <w:rPr>
                      <w:rFonts w:hint="default" w:ascii="Times New Roman" w:hAnsi="Times New Roman" w:cs="Times New Roman" w:eastAsiaTheme="minorEastAsia"/>
                      <w:b/>
                      <w:bCs/>
                      <w:color w:val="000000" w:themeColor="text1"/>
                      <w:kern w:val="2"/>
                      <w:sz w:val="21"/>
                      <w:szCs w:val="21"/>
                    </w:rPr>
                    <w:t>（辆/天）</w:t>
                  </w:r>
                </w:p>
              </w:tc>
              <w:tc>
                <w:tcPr>
                  <w:tcW w:w="1675" w:type="dxa"/>
                  <w:vMerge w:val="continue"/>
                  <w:tcBorders>
                    <w:bottom w:val="single" w:color="auto" w:sz="12" w:space="0"/>
                  </w:tcBorders>
                  <w:vAlign w:val="center"/>
                </w:tcPr>
                <w:p>
                  <w:pPr>
                    <w:pStyle w:val="2"/>
                    <w:jc w:val="center"/>
                    <w:rPr>
                      <w:rFonts w:hint="default" w:ascii="Times New Roman" w:hAnsi="Times New Roman" w:cs="Times New Roman" w:eastAsiaTheme="minorEastAsia"/>
                      <w:b/>
                      <w:bCs/>
                      <w:color w:val="000000" w:themeColor="text1"/>
                      <w:kern w:val="2"/>
                      <w:sz w:val="21"/>
                      <w:szCs w:val="21"/>
                    </w:rPr>
                  </w:pPr>
                </w:p>
              </w:tc>
              <w:tc>
                <w:tcPr>
                  <w:tcW w:w="1162" w:type="dxa"/>
                  <w:vMerge w:val="continue"/>
                  <w:tcBorders>
                    <w:bottom w:val="single" w:color="auto" w:sz="12" w:space="0"/>
                  </w:tcBorders>
                  <w:vAlign w:val="center"/>
                </w:tcPr>
                <w:p>
                  <w:pPr>
                    <w:pStyle w:val="2"/>
                    <w:jc w:val="center"/>
                    <w:rPr>
                      <w:rFonts w:hint="default" w:ascii="Times New Roman" w:hAnsi="Times New Roman" w:cs="Times New Roman" w:eastAsiaTheme="minorEastAsia"/>
                      <w:b/>
                      <w:bCs/>
                      <w:color w:val="000000" w:themeColor="text1"/>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5" w:type="dxa"/>
                  <w:tcBorders>
                    <w:tl2br w:val="nil"/>
                    <w:tr2bl w:val="nil"/>
                  </w:tcBorders>
                  <w:vAlign w:val="center"/>
                </w:tcPr>
                <w:p>
                  <w:pPr>
                    <w:pStyle w:val="2"/>
                    <w:jc w:val="center"/>
                    <w:rPr>
                      <w:rFonts w:hint="default" w:ascii="Times New Roman" w:hAnsi="Times New Roman" w:cs="Times New Roman" w:eastAsiaTheme="minorEastAsia"/>
                      <w:color w:val="000000" w:themeColor="text1"/>
                      <w:sz w:val="21"/>
                      <w:szCs w:val="21"/>
                    </w:rPr>
                  </w:pPr>
                  <w:r>
                    <w:rPr>
                      <w:rFonts w:hint="default" w:ascii="Times New Roman" w:hAnsi="Times New Roman" w:cs="Times New Roman" w:eastAsiaTheme="minorEastAsia"/>
                      <w:color w:val="000000" w:themeColor="text1"/>
                      <w:sz w:val="21"/>
                      <w:szCs w:val="21"/>
                    </w:rPr>
                    <w:t>5月17日</w:t>
                  </w:r>
                </w:p>
              </w:tc>
              <w:tc>
                <w:tcPr>
                  <w:tcW w:w="1087" w:type="dxa"/>
                  <w:tcBorders>
                    <w:tl2br w:val="nil"/>
                    <w:tr2bl w:val="nil"/>
                  </w:tcBorders>
                  <w:vAlign w:val="center"/>
                </w:tcPr>
                <w:p>
                  <w:pPr>
                    <w:pStyle w:val="2"/>
                    <w:jc w:val="center"/>
                    <w:rPr>
                      <w:rFonts w:hint="default" w:ascii="Times New Roman" w:hAnsi="Times New Roman" w:cs="Times New Roman" w:eastAsiaTheme="minorEastAsia"/>
                      <w:b/>
                      <w:color w:val="FF0000"/>
                      <w:sz w:val="21"/>
                      <w:szCs w:val="21"/>
                    </w:rPr>
                  </w:pPr>
                  <w:r>
                    <w:rPr>
                      <w:rFonts w:hint="default" w:ascii="Times New Roman" w:hAnsi="Times New Roman" w:cs="Times New Roman" w:eastAsiaTheme="minorEastAsia"/>
                      <w:color w:val="000000" w:themeColor="text1"/>
                      <w:sz w:val="21"/>
                      <w:szCs w:val="21"/>
                    </w:rPr>
                    <w:t>维修保养车辆</w:t>
                  </w:r>
                </w:p>
              </w:tc>
              <w:tc>
                <w:tcPr>
                  <w:tcW w:w="1575" w:type="dxa"/>
                  <w:tcBorders>
                    <w:top w:val="single" w:color="auto" w:sz="12" w:space="0"/>
                    <w:tl2br w:val="nil"/>
                    <w:tr2bl w:val="nil"/>
                  </w:tcBorders>
                  <w:vAlign w:val="center"/>
                </w:tcPr>
                <w:p>
                  <w:pPr>
                    <w:widowControl/>
                    <w:jc w:val="center"/>
                    <w:textAlignment w:val="center"/>
                    <w:rPr>
                      <w:rFonts w:ascii="Times New Roman" w:hAnsi="Times New Roman" w:cs="Times New Roman" w:eastAsiaTheme="minorEastAsia"/>
                      <w:bCs/>
                      <w:color w:val="000000" w:themeColor="text1"/>
                      <w:szCs w:val="21"/>
                    </w:rPr>
                  </w:pPr>
                  <w:r>
                    <w:rPr>
                      <w:rFonts w:ascii="Times New Roman" w:hAnsi="Times New Roman" w:cs="Times New Roman" w:eastAsiaTheme="minorEastAsia"/>
                      <w:bCs/>
                      <w:color w:val="000000" w:themeColor="text1"/>
                      <w:szCs w:val="21"/>
                    </w:rPr>
                    <w:t>维修</w:t>
                  </w:r>
                  <w:r>
                    <w:rPr>
                      <w:rFonts w:ascii="Times New Roman" w:hAnsi="Times New Roman" w:cs="Times New Roman" w:eastAsiaTheme="minorEastAsia"/>
                      <w:color w:val="000000" w:themeColor="text1"/>
                      <w:szCs w:val="21"/>
                    </w:rPr>
                    <w:t>保养</w:t>
                  </w:r>
                  <w:r>
                    <w:rPr>
                      <w:rFonts w:ascii="Times New Roman" w:hAnsi="Times New Roman" w:cs="Times New Roman" w:eastAsiaTheme="minorEastAsia"/>
                      <w:bCs/>
                      <w:color w:val="000000" w:themeColor="text1"/>
                      <w:szCs w:val="21"/>
                    </w:rPr>
                    <w:t>车辆2000辆</w:t>
                  </w:r>
                </w:p>
              </w:tc>
              <w:tc>
                <w:tcPr>
                  <w:tcW w:w="1575" w:type="dxa"/>
                  <w:tcBorders>
                    <w:top w:val="single" w:color="auto" w:sz="12" w:space="0"/>
                    <w:tl2br w:val="nil"/>
                    <w:tr2bl w:val="nil"/>
                  </w:tcBorders>
                  <w:vAlign w:val="center"/>
                </w:tcPr>
                <w:p>
                  <w:pPr>
                    <w:widowControl/>
                    <w:jc w:val="center"/>
                    <w:textAlignment w:val="center"/>
                    <w:rPr>
                      <w:rFonts w:ascii="Times New Roman" w:hAnsi="Times New Roman" w:cs="Times New Roman" w:eastAsiaTheme="minorEastAsia"/>
                      <w:bCs/>
                      <w:color w:val="000000" w:themeColor="text1"/>
                      <w:szCs w:val="21"/>
                    </w:rPr>
                  </w:pPr>
                  <w:r>
                    <w:rPr>
                      <w:rFonts w:ascii="Times New Roman" w:hAnsi="Times New Roman" w:cs="Times New Roman" w:eastAsiaTheme="minorEastAsia"/>
                      <w:bCs/>
                      <w:color w:val="000000" w:themeColor="text1"/>
                      <w:szCs w:val="21"/>
                    </w:rPr>
                    <w:t>维修</w:t>
                  </w:r>
                  <w:r>
                    <w:rPr>
                      <w:rFonts w:ascii="Times New Roman" w:hAnsi="Times New Roman" w:cs="Times New Roman" w:eastAsiaTheme="minorEastAsia"/>
                      <w:color w:val="000000" w:themeColor="text1"/>
                      <w:szCs w:val="21"/>
                    </w:rPr>
                    <w:t>保养</w:t>
                  </w:r>
                  <w:r>
                    <w:rPr>
                      <w:rFonts w:ascii="Times New Roman" w:hAnsi="Times New Roman" w:cs="Times New Roman" w:eastAsiaTheme="minorEastAsia"/>
                      <w:bCs/>
                      <w:color w:val="000000" w:themeColor="text1"/>
                      <w:szCs w:val="21"/>
                    </w:rPr>
                    <w:t>车辆6.7辆</w:t>
                  </w:r>
                </w:p>
              </w:tc>
              <w:tc>
                <w:tcPr>
                  <w:tcW w:w="1675" w:type="dxa"/>
                  <w:tcBorders>
                    <w:tl2br w:val="nil"/>
                    <w:tr2bl w:val="nil"/>
                  </w:tcBorders>
                  <w:vAlign w:val="center"/>
                </w:tcPr>
                <w:p>
                  <w:pPr>
                    <w:widowControl/>
                    <w:jc w:val="center"/>
                    <w:textAlignment w:val="center"/>
                    <w:rPr>
                      <w:rFonts w:ascii="Times New Roman" w:hAnsi="Times New Roman" w:cs="Times New Roman" w:eastAsiaTheme="minorEastAsia"/>
                      <w:bCs/>
                      <w:color w:val="000000" w:themeColor="text1"/>
                      <w:szCs w:val="21"/>
                    </w:rPr>
                  </w:pPr>
                  <w:r>
                    <w:rPr>
                      <w:rFonts w:ascii="Times New Roman" w:hAnsi="Times New Roman" w:cs="Times New Roman" w:eastAsiaTheme="minorEastAsia"/>
                      <w:bCs/>
                      <w:color w:val="000000" w:themeColor="text1"/>
                      <w:szCs w:val="21"/>
                    </w:rPr>
                    <w:t>维修</w:t>
                  </w:r>
                  <w:r>
                    <w:rPr>
                      <w:rFonts w:ascii="Times New Roman" w:hAnsi="Times New Roman" w:cs="Times New Roman" w:eastAsiaTheme="minorEastAsia"/>
                      <w:color w:val="000000" w:themeColor="text1"/>
                      <w:szCs w:val="21"/>
                    </w:rPr>
                    <w:t>保养</w:t>
                  </w:r>
                  <w:r>
                    <w:rPr>
                      <w:rFonts w:ascii="Times New Roman" w:hAnsi="Times New Roman" w:cs="Times New Roman" w:eastAsiaTheme="minorEastAsia"/>
                      <w:bCs/>
                      <w:color w:val="000000" w:themeColor="text1"/>
                      <w:szCs w:val="21"/>
                    </w:rPr>
                    <w:t>车辆6辆</w:t>
                  </w:r>
                </w:p>
              </w:tc>
              <w:tc>
                <w:tcPr>
                  <w:tcW w:w="1162" w:type="dxa"/>
                  <w:tcBorders>
                    <w:tl2br w:val="nil"/>
                    <w:tr2bl w:val="nil"/>
                  </w:tcBorders>
                  <w:vAlign w:val="center"/>
                </w:tcPr>
                <w:p>
                  <w:pPr>
                    <w:jc w:val="center"/>
                    <w:rPr>
                      <w:rFonts w:ascii="Times New Roman" w:hAnsi="Times New Roman" w:cs="Times New Roman" w:eastAsiaTheme="minorEastAsia"/>
                      <w:bCs/>
                      <w:color w:val="000000" w:themeColor="text1"/>
                      <w:szCs w:val="21"/>
                    </w:rPr>
                  </w:pPr>
                  <w:r>
                    <w:rPr>
                      <w:rFonts w:ascii="Times New Roman" w:hAnsi="Times New Roman" w:cs="Times New Roman" w:eastAsiaTheme="minorEastAsia"/>
                      <w:bCs/>
                      <w:color w:val="000000" w:themeColor="text1"/>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5" w:type="dxa"/>
                  <w:tcBorders>
                    <w:tl2br w:val="nil"/>
                    <w:tr2bl w:val="nil"/>
                  </w:tcBorders>
                  <w:vAlign w:val="center"/>
                </w:tcPr>
                <w:p>
                  <w:pPr>
                    <w:jc w:val="center"/>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5月18日</w:t>
                  </w:r>
                </w:p>
              </w:tc>
              <w:tc>
                <w:tcPr>
                  <w:tcW w:w="1087" w:type="dxa"/>
                  <w:tcBorders>
                    <w:tl2br w:val="nil"/>
                    <w:tr2bl w:val="nil"/>
                  </w:tcBorders>
                  <w:vAlign w:val="center"/>
                </w:tcPr>
                <w:p>
                  <w:pPr>
                    <w:pStyle w:val="2"/>
                    <w:jc w:val="center"/>
                    <w:rPr>
                      <w:rFonts w:hint="default" w:ascii="Times New Roman" w:hAnsi="Times New Roman" w:cs="Times New Roman" w:eastAsiaTheme="minorEastAsia"/>
                      <w:color w:val="000000" w:themeColor="text1"/>
                      <w:sz w:val="21"/>
                      <w:szCs w:val="21"/>
                    </w:rPr>
                  </w:pPr>
                  <w:r>
                    <w:rPr>
                      <w:rFonts w:hint="default" w:ascii="Times New Roman" w:hAnsi="Times New Roman" w:cs="Times New Roman" w:eastAsiaTheme="minorEastAsia"/>
                      <w:color w:val="000000" w:themeColor="text1"/>
                      <w:sz w:val="21"/>
                      <w:szCs w:val="21"/>
                    </w:rPr>
                    <w:t>维修保养车辆</w:t>
                  </w:r>
                </w:p>
              </w:tc>
              <w:tc>
                <w:tcPr>
                  <w:tcW w:w="1575" w:type="dxa"/>
                  <w:tcBorders>
                    <w:tl2br w:val="nil"/>
                    <w:tr2bl w:val="nil"/>
                  </w:tcBorders>
                  <w:vAlign w:val="center"/>
                </w:tcPr>
                <w:p>
                  <w:pPr>
                    <w:widowControl/>
                    <w:jc w:val="center"/>
                    <w:textAlignment w:val="center"/>
                    <w:rPr>
                      <w:rFonts w:ascii="Times New Roman" w:hAnsi="Times New Roman" w:cs="Times New Roman" w:eastAsiaTheme="minorEastAsia"/>
                      <w:color w:val="000000" w:themeColor="text1"/>
                      <w:szCs w:val="21"/>
                    </w:rPr>
                  </w:pPr>
                  <w:r>
                    <w:rPr>
                      <w:rFonts w:ascii="Times New Roman" w:hAnsi="Times New Roman" w:cs="Times New Roman" w:eastAsiaTheme="minorEastAsia"/>
                      <w:bCs/>
                      <w:color w:val="000000" w:themeColor="text1"/>
                      <w:szCs w:val="21"/>
                    </w:rPr>
                    <w:t>维修</w:t>
                  </w:r>
                  <w:r>
                    <w:rPr>
                      <w:rFonts w:ascii="Times New Roman" w:hAnsi="Times New Roman" w:cs="Times New Roman" w:eastAsiaTheme="minorEastAsia"/>
                      <w:color w:val="000000" w:themeColor="text1"/>
                      <w:szCs w:val="21"/>
                    </w:rPr>
                    <w:t>保养</w:t>
                  </w:r>
                  <w:r>
                    <w:rPr>
                      <w:rFonts w:ascii="Times New Roman" w:hAnsi="Times New Roman" w:cs="Times New Roman" w:eastAsiaTheme="minorEastAsia"/>
                      <w:bCs/>
                      <w:color w:val="000000" w:themeColor="text1"/>
                      <w:szCs w:val="21"/>
                    </w:rPr>
                    <w:t>车辆2000辆</w:t>
                  </w:r>
                </w:p>
              </w:tc>
              <w:tc>
                <w:tcPr>
                  <w:tcW w:w="1575" w:type="dxa"/>
                  <w:tcBorders>
                    <w:tl2br w:val="nil"/>
                    <w:tr2bl w:val="nil"/>
                  </w:tcBorders>
                  <w:vAlign w:val="center"/>
                </w:tcPr>
                <w:p>
                  <w:pPr>
                    <w:widowControl/>
                    <w:jc w:val="center"/>
                    <w:textAlignment w:val="center"/>
                    <w:rPr>
                      <w:rFonts w:ascii="Times New Roman" w:hAnsi="Times New Roman" w:cs="Times New Roman" w:eastAsiaTheme="minorEastAsia"/>
                      <w:bCs/>
                      <w:color w:val="000000" w:themeColor="text1"/>
                      <w:szCs w:val="21"/>
                    </w:rPr>
                  </w:pPr>
                  <w:r>
                    <w:rPr>
                      <w:rFonts w:ascii="Times New Roman" w:hAnsi="Times New Roman" w:cs="Times New Roman" w:eastAsiaTheme="minorEastAsia"/>
                      <w:bCs/>
                      <w:color w:val="000000" w:themeColor="text1"/>
                      <w:szCs w:val="21"/>
                    </w:rPr>
                    <w:t>维修</w:t>
                  </w:r>
                  <w:r>
                    <w:rPr>
                      <w:rFonts w:ascii="Times New Roman" w:hAnsi="Times New Roman" w:cs="Times New Roman" w:eastAsiaTheme="minorEastAsia"/>
                      <w:color w:val="000000" w:themeColor="text1"/>
                      <w:szCs w:val="21"/>
                    </w:rPr>
                    <w:t>保养</w:t>
                  </w:r>
                  <w:r>
                    <w:rPr>
                      <w:rFonts w:ascii="Times New Roman" w:hAnsi="Times New Roman" w:cs="Times New Roman" w:eastAsiaTheme="minorEastAsia"/>
                      <w:bCs/>
                      <w:color w:val="000000" w:themeColor="text1"/>
                      <w:szCs w:val="21"/>
                    </w:rPr>
                    <w:t>车辆6.7辆</w:t>
                  </w:r>
                </w:p>
              </w:tc>
              <w:tc>
                <w:tcPr>
                  <w:tcW w:w="1675" w:type="dxa"/>
                  <w:tcBorders>
                    <w:tl2br w:val="nil"/>
                    <w:tr2bl w:val="nil"/>
                  </w:tcBorders>
                  <w:vAlign w:val="center"/>
                </w:tcPr>
                <w:p>
                  <w:pPr>
                    <w:widowControl/>
                    <w:jc w:val="center"/>
                    <w:textAlignment w:val="center"/>
                    <w:rPr>
                      <w:rFonts w:ascii="Times New Roman" w:hAnsi="Times New Roman" w:cs="Times New Roman" w:eastAsiaTheme="minorEastAsia"/>
                      <w:color w:val="000000" w:themeColor="text1"/>
                      <w:szCs w:val="21"/>
                    </w:rPr>
                  </w:pPr>
                  <w:r>
                    <w:rPr>
                      <w:rFonts w:ascii="Times New Roman" w:hAnsi="Times New Roman" w:cs="Times New Roman" w:eastAsiaTheme="minorEastAsia"/>
                      <w:bCs/>
                      <w:color w:val="000000" w:themeColor="text1"/>
                      <w:szCs w:val="21"/>
                    </w:rPr>
                    <w:t>维修</w:t>
                  </w:r>
                  <w:r>
                    <w:rPr>
                      <w:rFonts w:ascii="Times New Roman" w:hAnsi="Times New Roman" w:cs="Times New Roman" w:eastAsiaTheme="minorEastAsia"/>
                      <w:color w:val="000000" w:themeColor="text1"/>
                      <w:szCs w:val="21"/>
                    </w:rPr>
                    <w:t>保养</w:t>
                  </w:r>
                  <w:r>
                    <w:rPr>
                      <w:rFonts w:ascii="Times New Roman" w:hAnsi="Times New Roman" w:cs="Times New Roman" w:eastAsiaTheme="minorEastAsia"/>
                      <w:bCs/>
                      <w:color w:val="000000" w:themeColor="text1"/>
                      <w:szCs w:val="21"/>
                    </w:rPr>
                    <w:t>车辆5辆</w:t>
                  </w:r>
                </w:p>
              </w:tc>
              <w:tc>
                <w:tcPr>
                  <w:tcW w:w="1162" w:type="dxa"/>
                  <w:tcBorders>
                    <w:tl2br w:val="nil"/>
                    <w:tr2bl w:val="nil"/>
                  </w:tcBorders>
                  <w:vAlign w:val="center"/>
                </w:tcPr>
                <w:p>
                  <w:pPr>
                    <w:jc w:val="center"/>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75</w:t>
                  </w:r>
                </w:p>
              </w:tc>
            </w:tr>
          </w:tbl>
          <w:p>
            <w:pPr>
              <w:pStyle w:val="8"/>
              <w:ind w:firstLine="480" w:firstLineChars="200"/>
              <w:rPr>
                <w:rFonts w:ascii="Times New Roman" w:hAnsi="Times New Roman" w:cs="Times New Roman"/>
                <w:sz w:val="24"/>
              </w:rPr>
            </w:pPr>
            <w:bookmarkStart w:id="14" w:name="_Toc8548"/>
            <w:bookmarkStart w:id="15" w:name="_Toc4113"/>
            <w:r>
              <w:rPr>
                <w:rFonts w:ascii="Times New Roman" w:hAnsi="Times New Roman" w:cs="Times New Roman" w:eastAsiaTheme="minorEastAsia"/>
                <w:sz w:val="24"/>
              </w:rPr>
              <w:t>根据《</w:t>
            </w:r>
            <w:r>
              <w:rPr>
                <w:rFonts w:ascii="Times New Roman" w:hAnsi="Times New Roman" w:cs="Times New Roman"/>
                <w:sz w:val="24"/>
              </w:rPr>
              <w:t>关于发布&lt;建设项目竣工环境保护验收技术指南 污染影响类&gt;的公告</w:t>
            </w:r>
            <w:r>
              <w:rPr>
                <w:rFonts w:ascii="Times New Roman" w:hAnsi="Times New Roman" w:cs="Times New Roman" w:eastAsiaTheme="minorEastAsia"/>
                <w:sz w:val="24"/>
              </w:rPr>
              <w:t>》</w:t>
            </w:r>
            <w:r>
              <w:rPr>
                <w:rFonts w:ascii="Times New Roman" w:hAnsi="Times New Roman" w:cs="Times New Roman"/>
                <w:sz w:val="24"/>
              </w:rPr>
              <w:t>（公告2018年第9号文 生态环境部）文件中</w:t>
            </w:r>
            <w:r>
              <w:rPr>
                <w:rFonts w:ascii="Times New Roman" w:hAnsi="Times New Roman" w:cs="Times New Roman" w:eastAsiaTheme="minorEastAsia"/>
                <w:sz w:val="24"/>
              </w:rPr>
              <w:t>“验收监测在确保主体工程工况稳定、环境保护设施运行正常的情况下进行”的规定，本次验收监测期间各生产设备及环保设备均运转正常，</w:t>
            </w:r>
            <w:bookmarkEnd w:id="14"/>
            <w:bookmarkEnd w:id="15"/>
            <w:r>
              <w:rPr>
                <w:rFonts w:ascii="Times New Roman" w:hAnsi="Times New Roman" w:cs="Times New Roman" w:eastAsiaTheme="minorEastAsia"/>
                <w:color w:val="000000" w:themeColor="text1"/>
                <w:sz w:val="24"/>
              </w:rPr>
              <w:t>符合</w:t>
            </w:r>
            <w:r>
              <w:rPr>
                <w:rFonts w:ascii="Times New Roman" w:hAnsi="Times New Roman" w:cs="Times New Roman" w:eastAsiaTheme="minorEastAsia"/>
                <w:sz w:val="24"/>
              </w:rPr>
              <w:t>竣工验收监测规范的要求</w:t>
            </w:r>
            <w:r>
              <w:rPr>
                <w:rFonts w:ascii="Times New Roman" w:hAnsi="Times New Roman" w:cs="Times New Roman" w:eastAsiaTheme="minorEastAsia"/>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4" w:type="dxa"/>
          </w:tcPr>
          <w:p>
            <w:pPr>
              <w:spacing w:line="384" w:lineRule="auto"/>
              <w:jc w:val="left"/>
              <w:rPr>
                <w:rFonts w:ascii="Times New Roman" w:hAnsi="Times New Roman" w:cs="Times New Roman"/>
                <w:b/>
                <w:bCs/>
                <w:sz w:val="24"/>
              </w:rPr>
            </w:pPr>
            <w:r>
              <w:rPr>
                <w:rFonts w:ascii="Times New Roman" w:hAnsi="Times New Roman" w:cs="Times New Roman"/>
                <w:b/>
                <w:bCs/>
                <w:sz w:val="24"/>
              </w:rPr>
              <w:t>9.2、污染物排放监测结果</w:t>
            </w:r>
          </w:p>
          <w:p>
            <w:pPr>
              <w:pStyle w:val="2"/>
              <w:spacing w:line="360" w:lineRule="auto"/>
              <w:rPr>
                <w:rFonts w:hint="default" w:ascii="Times New Roman" w:hAnsi="Times New Roman" w:cs="Times New Roman"/>
              </w:rPr>
            </w:pPr>
            <w:r>
              <w:rPr>
                <w:rFonts w:hint="default" w:ascii="Times New Roman" w:hAnsi="Times New Roman" w:cs="Times New Roman"/>
              </w:rPr>
              <w:t>1、废水</w:t>
            </w:r>
          </w:p>
          <w:p>
            <w:pPr>
              <w:pStyle w:val="2"/>
              <w:tabs>
                <w:tab w:val="left" w:pos="2631"/>
                <w:tab w:val="left" w:pos="5747"/>
              </w:tabs>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废水总排口★1监测结果如下表9.2-1。</w:t>
            </w:r>
          </w:p>
          <w:p>
            <w:pPr>
              <w:pStyle w:val="2"/>
              <w:tabs>
                <w:tab w:val="left" w:pos="2631"/>
                <w:tab w:val="left" w:pos="5747"/>
              </w:tabs>
              <w:spacing w:line="360" w:lineRule="auto"/>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表9.2-1 生活废水监测结果</w:t>
            </w:r>
          </w:p>
          <w:tbl>
            <w:tblPr>
              <w:tblStyle w:val="16"/>
              <w:tblW w:w="8247"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16"/>
              <w:gridCol w:w="1000"/>
              <w:gridCol w:w="862"/>
              <w:gridCol w:w="957"/>
              <w:gridCol w:w="957"/>
              <w:gridCol w:w="957"/>
              <w:gridCol w:w="960"/>
              <w:gridCol w:w="1088"/>
              <w:gridCol w:w="75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blHeader/>
              </w:trPr>
              <w:tc>
                <w:tcPr>
                  <w:tcW w:w="716" w:type="dxa"/>
                  <w:vMerge w:val="restart"/>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监测时间</w:t>
                  </w:r>
                </w:p>
              </w:tc>
              <w:tc>
                <w:tcPr>
                  <w:tcW w:w="1000" w:type="dxa"/>
                  <w:vMerge w:val="restart"/>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测试项目</w:t>
                  </w:r>
                </w:p>
              </w:tc>
              <w:tc>
                <w:tcPr>
                  <w:tcW w:w="862" w:type="dxa"/>
                  <w:vMerge w:val="restart"/>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单位</w:t>
                  </w:r>
                </w:p>
              </w:tc>
              <w:tc>
                <w:tcPr>
                  <w:tcW w:w="3831" w:type="dxa"/>
                  <w:gridSpan w:val="4"/>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频次</w:t>
                  </w:r>
                </w:p>
              </w:tc>
              <w:tc>
                <w:tcPr>
                  <w:tcW w:w="1088" w:type="dxa"/>
                  <w:vMerge w:val="restart"/>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平均值</w:t>
                  </w:r>
                </w:p>
              </w:tc>
              <w:tc>
                <w:tcPr>
                  <w:tcW w:w="750" w:type="dxa"/>
                  <w:vMerge w:val="restart"/>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标准</w:t>
                  </w:r>
                </w:p>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blHeader/>
              </w:trPr>
              <w:tc>
                <w:tcPr>
                  <w:tcW w:w="716" w:type="dxa"/>
                  <w:vMerge w:val="continue"/>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vMerge w:val="continue"/>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862" w:type="dxa"/>
                  <w:vMerge w:val="continue"/>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957" w:type="dxa"/>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第一次</w:t>
                  </w:r>
                </w:p>
              </w:tc>
              <w:tc>
                <w:tcPr>
                  <w:tcW w:w="957" w:type="dxa"/>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第二次</w:t>
                  </w:r>
                </w:p>
              </w:tc>
              <w:tc>
                <w:tcPr>
                  <w:tcW w:w="957" w:type="dxa"/>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第三次</w:t>
                  </w:r>
                </w:p>
              </w:tc>
              <w:tc>
                <w:tcPr>
                  <w:tcW w:w="960" w:type="dxa"/>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第四次</w:t>
                  </w:r>
                </w:p>
              </w:tc>
              <w:tc>
                <w:tcPr>
                  <w:tcW w:w="1088" w:type="dxa"/>
                  <w:vMerge w:val="continue"/>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750" w:type="dxa"/>
                  <w:vMerge w:val="continue"/>
                  <w:tcBorders>
                    <w:bottom w:val="single" w:color="auto" w:sz="12" w:space="0"/>
                    <w:tl2br w:val="nil"/>
                    <w:tr2bl w:val="nil"/>
                  </w:tcBorders>
                  <w:vAlign w:val="center"/>
                </w:tcPr>
                <w:p>
                  <w:pPr>
                    <w:widowControl/>
                    <w:adjustRightInd w:val="0"/>
                    <w:snapToGrid w:val="0"/>
                    <w:spacing w:line="240" w:lineRule="auto"/>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restart"/>
                  <w:tcBorders>
                    <w:top w:val="single" w:color="auto" w:sz="12" w:space="0"/>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2020.5.17</w:t>
                  </w:r>
                </w:p>
              </w:tc>
              <w:tc>
                <w:tcPr>
                  <w:tcW w:w="1000" w:type="dxa"/>
                  <w:tcBorders>
                    <w:top w:val="single" w:color="auto" w:sz="12" w:space="0"/>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pH</w:t>
                  </w:r>
                </w:p>
              </w:tc>
              <w:tc>
                <w:tcPr>
                  <w:tcW w:w="862" w:type="dxa"/>
                  <w:tcBorders>
                    <w:top w:val="single" w:color="auto" w:sz="12" w:space="0"/>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无量纲</w:t>
                  </w:r>
                </w:p>
              </w:tc>
              <w:tc>
                <w:tcPr>
                  <w:tcW w:w="957"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7.87</w:t>
                  </w:r>
                </w:p>
              </w:tc>
              <w:tc>
                <w:tcPr>
                  <w:tcW w:w="957"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7.92</w:t>
                  </w:r>
                </w:p>
              </w:tc>
              <w:tc>
                <w:tcPr>
                  <w:tcW w:w="957"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7.89</w:t>
                  </w:r>
                </w:p>
              </w:tc>
              <w:tc>
                <w:tcPr>
                  <w:tcW w:w="960"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7.86</w:t>
                  </w:r>
                </w:p>
              </w:tc>
              <w:tc>
                <w:tcPr>
                  <w:tcW w:w="1088"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7.86~7.92</w:t>
                  </w:r>
                </w:p>
              </w:tc>
              <w:tc>
                <w:tcPr>
                  <w:tcW w:w="750"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6~9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COD</w:t>
                  </w:r>
                  <w:r>
                    <w:rPr>
                      <w:rFonts w:ascii="Times New Roman" w:hAnsi="Times New Roman" w:cs="Times New Roman"/>
                      <w:sz w:val="18"/>
                      <w:szCs w:val="18"/>
                      <w:vertAlign w:val="subscript"/>
                    </w:rPr>
                    <w:t>Cr</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55</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51</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53</w:t>
                  </w:r>
                </w:p>
              </w:tc>
              <w:tc>
                <w:tcPr>
                  <w:tcW w:w="96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55</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average(D4:G4) \* MERGEFORMAT </w:instrText>
                  </w:r>
                  <w:r>
                    <w:rPr>
                      <w:rFonts w:ascii="Times New Roman" w:hAnsi="Times New Roman" w:cs="Times New Roman"/>
                      <w:sz w:val="18"/>
                      <w:szCs w:val="18"/>
                    </w:rPr>
                    <w:fldChar w:fldCharType="separate"/>
                  </w:r>
                  <w:r>
                    <w:rPr>
                      <w:rFonts w:ascii="Times New Roman" w:hAnsi="Times New Roman" w:cs="Times New Roman"/>
                      <w:sz w:val="18"/>
                      <w:szCs w:val="18"/>
                    </w:rPr>
                    <w:t>54</w:t>
                  </w:r>
                  <w:r>
                    <w:rPr>
                      <w:rFonts w:ascii="Times New Roman" w:hAnsi="Times New Roman" w:cs="Times New Roman"/>
                      <w:sz w:val="18"/>
                      <w:szCs w:val="18"/>
                    </w:rPr>
                    <w:fldChar w:fldCharType="end"/>
                  </w:r>
                </w:p>
              </w:tc>
              <w:tc>
                <w:tcPr>
                  <w:tcW w:w="75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300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BOD</w:t>
                  </w:r>
                  <w:r>
                    <w:rPr>
                      <w:rFonts w:ascii="Times New Roman" w:hAnsi="Times New Roman" w:cs="Times New Roman"/>
                      <w:sz w:val="18"/>
                      <w:szCs w:val="18"/>
                      <w:vertAlign w:val="subscript"/>
                    </w:rPr>
                    <w:t>5</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16.0</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15.6</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16.4</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17.2</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average(D5:G5) \* MERGEFORMAT </w:instrText>
                  </w:r>
                  <w:r>
                    <w:rPr>
                      <w:rFonts w:ascii="Times New Roman" w:hAnsi="Times New Roman" w:cs="Times New Roman"/>
                      <w:sz w:val="18"/>
                      <w:szCs w:val="18"/>
                    </w:rPr>
                    <w:fldChar w:fldCharType="separate"/>
                  </w:r>
                  <w:r>
                    <w:rPr>
                      <w:rFonts w:ascii="Times New Roman" w:hAnsi="Times New Roman" w:cs="Times New Roman"/>
                      <w:sz w:val="18"/>
                      <w:szCs w:val="18"/>
                    </w:rPr>
                    <w:t>16.3</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氨氮</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0.966</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0.830</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0.878</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0.921</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average(D6:G6) \* MERGEFORMAT </w:instrText>
                  </w:r>
                  <w:r>
                    <w:rPr>
                      <w:rFonts w:ascii="Times New Roman" w:hAnsi="Times New Roman" w:cs="Times New Roman"/>
                      <w:sz w:val="18"/>
                      <w:szCs w:val="18"/>
                    </w:rPr>
                    <w:fldChar w:fldCharType="separate"/>
                  </w:r>
                  <w:r>
                    <w:rPr>
                      <w:rFonts w:ascii="Times New Roman" w:hAnsi="Times New Roman" w:cs="Times New Roman"/>
                      <w:sz w:val="18"/>
                      <w:szCs w:val="18"/>
                    </w:rPr>
                    <w:t>0.899</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悬浮物</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41</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40</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40</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42</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average(D7:G7) \* MERGEFORMAT </w:instrText>
                  </w:r>
                  <w:r>
                    <w:rPr>
                      <w:rFonts w:ascii="Times New Roman" w:hAnsi="Times New Roman" w:cs="Times New Roman"/>
                      <w:sz w:val="18"/>
                      <w:szCs w:val="18"/>
                    </w:rPr>
                    <w:fldChar w:fldCharType="separate"/>
                  </w:r>
                  <w:r>
                    <w:rPr>
                      <w:rFonts w:ascii="Times New Roman" w:hAnsi="Times New Roman" w:cs="Times New Roman"/>
                      <w:sz w:val="18"/>
                      <w:szCs w:val="18"/>
                    </w:rPr>
                    <w:t>41</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石油类</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0.07</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0.09</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0.09</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0.07</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average(D8:G8) \* MERGEFORMAT </w:instrText>
                  </w:r>
                  <w:r>
                    <w:rPr>
                      <w:rFonts w:ascii="Times New Roman" w:hAnsi="Times New Roman" w:cs="Times New Roman"/>
                      <w:sz w:val="18"/>
                      <w:szCs w:val="18"/>
                    </w:rPr>
                    <w:fldChar w:fldCharType="separate"/>
                  </w:r>
                  <w:r>
                    <w:rPr>
                      <w:rFonts w:ascii="Times New Roman" w:hAnsi="Times New Roman" w:cs="Times New Roman"/>
                      <w:sz w:val="18"/>
                      <w:szCs w:val="18"/>
                    </w:rPr>
                    <w:t>0.08</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动植物油</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0.17</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0.14</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0.12</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0.11</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average(D9:G9) \* MERGEFORMAT </w:instrText>
                  </w:r>
                  <w:r>
                    <w:rPr>
                      <w:rFonts w:ascii="Times New Roman" w:hAnsi="Times New Roman" w:cs="Times New Roman"/>
                      <w:sz w:val="18"/>
                      <w:szCs w:val="18"/>
                    </w:rPr>
                    <w:fldChar w:fldCharType="separate"/>
                  </w:r>
                  <w:r>
                    <w:rPr>
                      <w:rFonts w:ascii="Times New Roman" w:hAnsi="Times New Roman" w:cs="Times New Roman"/>
                      <w:sz w:val="18"/>
                      <w:szCs w:val="18"/>
                    </w:rPr>
                    <w:t>0.14</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总磷</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0.244</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0.215</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0.234</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0.245</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average(D10:G10) \* MERGEFORMAT </w:instrText>
                  </w:r>
                  <w:r>
                    <w:rPr>
                      <w:rFonts w:ascii="Times New Roman" w:hAnsi="Times New Roman" w:cs="Times New Roman"/>
                      <w:sz w:val="18"/>
                      <w:szCs w:val="18"/>
                    </w:rPr>
                    <w:fldChar w:fldCharType="separate"/>
                  </w:r>
                  <w:r>
                    <w:rPr>
                      <w:rFonts w:ascii="Times New Roman" w:hAnsi="Times New Roman" w:cs="Times New Roman"/>
                      <w:sz w:val="18"/>
                      <w:szCs w:val="18"/>
                    </w:rPr>
                    <w:t>0.234</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restart"/>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2020.5.18</w:t>
                  </w: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pH</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无量纲</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7.94</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7.91</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7.88</w:t>
                  </w:r>
                </w:p>
              </w:tc>
              <w:tc>
                <w:tcPr>
                  <w:tcW w:w="96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7.85</w:t>
                  </w:r>
                </w:p>
              </w:tc>
              <w:tc>
                <w:tcPr>
                  <w:tcW w:w="1088"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7.85~7.94</w:t>
                  </w:r>
                </w:p>
              </w:tc>
              <w:tc>
                <w:tcPr>
                  <w:tcW w:w="75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6~9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COD</w:t>
                  </w:r>
                  <w:r>
                    <w:rPr>
                      <w:rFonts w:ascii="Times New Roman" w:hAnsi="Times New Roman" w:cs="Times New Roman"/>
                      <w:sz w:val="18"/>
                      <w:szCs w:val="18"/>
                      <w:vertAlign w:val="subscript"/>
                    </w:rPr>
                    <w:t>Cr</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57</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53</w:t>
                  </w:r>
                </w:p>
              </w:tc>
              <w:tc>
                <w:tcPr>
                  <w:tcW w:w="95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55</w:t>
                  </w:r>
                </w:p>
              </w:tc>
              <w:tc>
                <w:tcPr>
                  <w:tcW w:w="96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53</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average(D4:G4) \* MERGEFORMAT </w:instrText>
                  </w:r>
                  <w:r>
                    <w:rPr>
                      <w:rFonts w:ascii="Times New Roman" w:hAnsi="Times New Roman" w:cs="Times New Roman"/>
                      <w:sz w:val="18"/>
                      <w:szCs w:val="18"/>
                    </w:rPr>
                    <w:fldChar w:fldCharType="separate"/>
                  </w:r>
                  <w:r>
                    <w:rPr>
                      <w:rFonts w:ascii="Times New Roman" w:hAnsi="Times New Roman" w:cs="Times New Roman"/>
                      <w:sz w:val="18"/>
                      <w:szCs w:val="18"/>
                    </w:rPr>
                    <w:t>54</w:t>
                  </w:r>
                  <w:r>
                    <w:rPr>
                      <w:rFonts w:ascii="Times New Roman" w:hAnsi="Times New Roman" w:cs="Times New Roman"/>
                      <w:sz w:val="18"/>
                      <w:szCs w:val="18"/>
                    </w:rPr>
                    <w:fldChar w:fldCharType="end"/>
                  </w:r>
                </w:p>
              </w:tc>
              <w:tc>
                <w:tcPr>
                  <w:tcW w:w="75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300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BOD</w:t>
                  </w:r>
                  <w:r>
                    <w:rPr>
                      <w:rFonts w:ascii="Times New Roman" w:hAnsi="Times New Roman" w:cs="Times New Roman"/>
                      <w:sz w:val="18"/>
                      <w:szCs w:val="18"/>
                      <w:vertAlign w:val="subscript"/>
                    </w:rPr>
                    <w:t>5</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17.2</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15.6</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16.6</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16.1</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average(D5:G5) \* MERGEFORMAT </w:instrText>
                  </w:r>
                  <w:r>
                    <w:rPr>
                      <w:rFonts w:ascii="Times New Roman" w:hAnsi="Times New Roman" w:cs="Times New Roman"/>
                      <w:sz w:val="18"/>
                      <w:szCs w:val="18"/>
                    </w:rPr>
                    <w:fldChar w:fldCharType="separate"/>
                  </w:r>
                  <w:r>
                    <w:rPr>
                      <w:rFonts w:ascii="Times New Roman" w:hAnsi="Times New Roman" w:cs="Times New Roman"/>
                      <w:sz w:val="18"/>
                      <w:szCs w:val="18"/>
                    </w:rPr>
                    <w:t>16.4</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氨氮</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0.639</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0.706</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0.668</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0.684</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average(D6:G6) \* MERGEFORMAT </w:instrText>
                  </w:r>
                  <w:r>
                    <w:rPr>
                      <w:rFonts w:ascii="Times New Roman" w:hAnsi="Times New Roman" w:cs="Times New Roman"/>
                      <w:sz w:val="18"/>
                      <w:szCs w:val="18"/>
                    </w:rPr>
                    <w:fldChar w:fldCharType="separate"/>
                  </w:r>
                  <w:r>
                    <w:rPr>
                      <w:rFonts w:ascii="Times New Roman" w:hAnsi="Times New Roman" w:cs="Times New Roman"/>
                      <w:sz w:val="18"/>
                      <w:szCs w:val="18"/>
                    </w:rPr>
                    <w:t>0.674</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悬浮物</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29</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27</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30</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29</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average(D7:G7) \* MERGEFORMAT </w:instrText>
                  </w:r>
                  <w:r>
                    <w:rPr>
                      <w:rFonts w:ascii="Times New Roman" w:hAnsi="Times New Roman" w:cs="Times New Roman"/>
                      <w:sz w:val="18"/>
                      <w:szCs w:val="18"/>
                    </w:rPr>
                    <w:fldChar w:fldCharType="separate"/>
                  </w:r>
                  <w:r>
                    <w:rPr>
                      <w:rFonts w:ascii="Times New Roman" w:hAnsi="Times New Roman" w:cs="Times New Roman"/>
                      <w:sz w:val="18"/>
                      <w:szCs w:val="18"/>
                    </w:rPr>
                    <w:t>29</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rPr>
                  </w:pPr>
                </w:p>
              </w:tc>
              <w:tc>
                <w:tcPr>
                  <w:tcW w:w="1000"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sz w:val="18"/>
                      <w:szCs w:val="18"/>
                    </w:rPr>
                    <w:t>石油类</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rPr>
                  </w:pPr>
                  <w:r>
                    <w:rPr>
                      <w:rFonts w:ascii="Times New Roman" w:hAnsi="Times New Roman" w:cs="Times New Roman"/>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0.12</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0.07</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0.08</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0.07</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average(D8:G8) \* MERGEFORMAT </w:instrText>
                  </w:r>
                  <w:r>
                    <w:rPr>
                      <w:rFonts w:ascii="Times New Roman" w:hAnsi="Times New Roman" w:cs="Times New Roman"/>
                      <w:sz w:val="18"/>
                      <w:szCs w:val="18"/>
                    </w:rPr>
                    <w:fldChar w:fldCharType="separate"/>
                  </w:r>
                  <w:r>
                    <w:rPr>
                      <w:rFonts w:ascii="Times New Roman" w:hAnsi="Times New Roman" w:cs="Times New Roman"/>
                      <w:sz w:val="18"/>
                      <w:szCs w:val="18"/>
                    </w:rPr>
                    <w:t>0.08</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szCs w:val="21"/>
                    </w:rPr>
                  </w:pPr>
                </w:p>
              </w:tc>
              <w:tc>
                <w:tcPr>
                  <w:tcW w:w="10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动植物油</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szCs w:val="21"/>
                    </w:rPr>
                  </w:pPr>
                  <w:r>
                    <w:rPr>
                      <w:rFonts w:ascii="Times New Roman" w:hAnsi="Times New Roman" w:cs="Times New Roman"/>
                      <w:szCs w:val="21"/>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0.08</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0.10</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0.12</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0.11</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average(D9:G9) \* MERGEFORMAT </w:instrText>
                  </w:r>
                  <w:r>
                    <w:rPr>
                      <w:rFonts w:ascii="Times New Roman" w:hAnsi="Times New Roman" w:cs="Times New Roman"/>
                      <w:sz w:val="18"/>
                      <w:szCs w:val="18"/>
                    </w:rPr>
                    <w:fldChar w:fldCharType="separate"/>
                  </w:r>
                  <w:r>
                    <w:rPr>
                      <w:rFonts w:ascii="Times New Roman" w:hAnsi="Times New Roman" w:cs="Times New Roman"/>
                      <w:sz w:val="18"/>
                      <w:szCs w:val="18"/>
                    </w:rPr>
                    <w:t>0.10</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16" w:type="dxa"/>
                  <w:vMerge w:val="continue"/>
                  <w:tcBorders>
                    <w:tl2br w:val="nil"/>
                    <w:tr2bl w:val="nil"/>
                  </w:tcBorders>
                  <w:vAlign w:val="center"/>
                </w:tcPr>
                <w:p>
                  <w:pPr>
                    <w:widowControl/>
                    <w:adjustRightInd w:val="0"/>
                    <w:snapToGrid w:val="0"/>
                    <w:spacing w:line="240" w:lineRule="auto"/>
                    <w:jc w:val="center"/>
                    <w:rPr>
                      <w:rFonts w:ascii="Times New Roman" w:hAnsi="Times New Roman" w:cs="Times New Roman"/>
                      <w:szCs w:val="21"/>
                    </w:rPr>
                  </w:pPr>
                </w:p>
              </w:tc>
              <w:tc>
                <w:tcPr>
                  <w:tcW w:w="10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总磷</w:t>
                  </w:r>
                </w:p>
              </w:tc>
              <w:tc>
                <w:tcPr>
                  <w:tcW w:w="862" w:type="dxa"/>
                  <w:tcBorders>
                    <w:tl2br w:val="nil"/>
                    <w:tr2bl w:val="nil"/>
                  </w:tcBorders>
                  <w:vAlign w:val="center"/>
                </w:tcPr>
                <w:p>
                  <w:pPr>
                    <w:widowControl/>
                    <w:adjustRightInd w:val="0"/>
                    <w:snapToGrid w:val="0"/>
                    <w:spacing w:line="240" w:lineRule="auto"/>
                    <w:jc w:val="center"/>
                    <w:rPr>
                      <w:rFonts w:ascii="Times New Roman" w:hAnsi="Times New Roman" w:cs="Times New Roman"/>
                      <w:szCs w:val="21"/>
                    </w:rPr>
                  </w:pPr>
                  <w:r>
                    <w:rPr>
                      <w:rFonts w:ascii="Times New Roman" w:hAnsi="Times New Roman" w:cs="Times New Roman"/>
                      <w:szCs w:val="21"/>
                    </w:rPr>
                    <w:t>mg/L</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0.208</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0.216</w:t>
                  </w:r>
                </w:p>
              </w:tc>
              <w:tc>
                <w:tcPr>
                  <w:tcW w:w="957"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0.225</w:t>
                  </w:r>
                </w:p>
              </w:tc>
              <w:tc>
                <w:tcPr>
                  <w:tcW w:w="96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0.218</w:t>
                  </w:r>
                </w:p>
              </w:tc>
              <w:tc>
                <w:tcPr>
                  <w:tcW w:w="1088"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 average(D10:G10) \* MERGEFORMAT </w:instrText>
                  </w:r>
                  <w:r>
                    <w:rPr>
                      <w:rFonts w:ascii="Times New Roman" w:hAnsi="Times New Roman" w:cs="Times New Roman"/>
                      <w:sz w:val="18"/>
                      <w:szCs w:val="18"/>
                    </w:rPr>
                    <w:fldChar w:fldCharType="separate"/>
                  </w:r>
                  <w:r>
                    <w:rPr>
                      <w:rFonts w:ascii="Times New Roman" w:hAnsi="Times New Roman" w:cs="Times New Roman"/>
                      <w:sz w:val="18"/>
                      <w:szCs w:val="18"/>
                    </w:rPr>
                    <w:t>0.217</w:t>
                  </w:r>
                  <w:r>
                    <w:rPr>
                      <w:rFonts w:ascii="Times New Roman" w:hAnsi="Times New Roman" w:cs="Times New Roman"/>
                      <w:sz w:val="18"/>
                      <w:szCs w:val="18"/>
                    </w:rPr>
                    <w:fldChar w:fldCharType="end"/>
                  </w:r>
                </w:p>
              </w:tc>
              <w:tc>
                <w:tcPr>
                  <w:tcW w:w="750" w:type="dxa"/>
                  <w:tcBorders>
                    <w:tl2br w:val="nil"/>
                    <w:tr2bl w:val="nil"/>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sz w:val="18"/>
                      <w:szCs w:val="18"/>
                    </w:rPr>
                    <w:t>3</w:t>
                  </w:r>
                </w:p>
              </w:tc>
            </w:tr>
          </w:tbl>
          <w:p>
            <w:pPr>
              <w:ind w:firstLine="480" w:firstLineChars="200"/>
              <w:rPr>
                <w:rFonts w:ascii="Times New Roman" w:hAnsi="Times New Roman" w:cs="Times New Roman"/>
                <w:color w:val="000000"/>
                <w:kern w:val="0"/>
                <w:sz w:val="24"/>
                <w:szCs w:val="22"/>
              </w:rPr>
            </w:pPr>
            <w:r>
              <w:rPr>
                <w:rFonts w:ascii="Times New Roman" w:hAnsi="Times New Roman" w:cs="Times New Roman"/>
                <w:color w:val="000000"/>
                <w:kern w:val="0"/>
                <w:sz w:val="24"/>
                <w:szCs w:val="22"/>
              </w:rPr>
              <w:t>验收监测期间：综合废水总排口的pH值范围在7.85~7.94之间，COD</w:t>
            </w:r>
            <w:r>
              <w:rPr>
                <w:rFonts w:ascii="Times New Roman" w:hAnsi="Times New Roman" w:cs="Times New Roman"/>
                <w:color w:val="000000"/>
                <w:kern w:val="0"/>
                <w:sz w:val="24"/>
                <w:szCs w:val="22"/>
                <w:vertAlign w:val="subscript"/>
              </w:rPr>
              <w:t>Cr</w:t>
            </w:r>
            <w:r>
              <w:rPr>
                <w:rFonts w:ascii="Times New Roman" w:hAnsi="Times New Roman" w:cs="Times New Roman"/>
                <w:color w:val="000000"/>
                <w:kern w:val="0"/>
                <w:sz w:val="24"/>
                <w:szCs w:val="22"/>
              </w:rPr>
              <w:t>、BOD</w:t>
            </w:r>
            <w:r>
              <w:rPr>
                <w:rFonts w:ascii="Times New Roman" w:hAnsi="Times New Roman" w:cs="Times New Roman"/>
                <w:color w:val="000000"/>
                <w:kern w:val="0"/>
                <w:sz w:val="24"/>
                <w:szCs w:val="22"/>
                <w:vertAlign w:val="subscript"/>
              </w:rPr>
              <w:t>5</w:t>
            </w:r>
            <w:r>
              <w:rPr>
                <w:rFonts w:ascii="Times New Roman" w:hAnsi="Times New Roman" w:cs="Times New Roman"/>
                <w:color w:val="000000"/>
                <w:kern w:val="0"/>
                <w:sz w:val="24"/>
                <w:szCs w:val="22"/>
              </w:rPr>
              <w:t>、悬浮物、动植物油、氨氮、石油类、总磷</w:t>
            </w:r>
            <w:r>
              <w:rPr>
                <w:rFonts w:ascii="Times New Roman" w:hAnsi="Times New Roman" w:cs="Times New Roman" w:eastAsiaTheme="minorEastAsia"/>
                <w:sz w:val="24"/>
              </w:rPr>
              <w:t>排放浓度</w:t>
            </w:r>
            <w:r>
              <w:rPr>
                <w:rFonts w:ascii="Times New Roman" w:hAnsi="Times New Roman" w:cs="Times New Roman"/>
                <w:color w:val="000000"/>
                <w:kern w:val="0"/>
                <w:sz w:val="24"/>
                <w:szCs w:val="22"/>
              </w:rPr>
              <w:t>日均值最大值分别为</w:t>
            </w:r>
            <w:bookmarkStart w:id="16" w:name="OLE_LINK3"/>
            <w:r>
              <w:rPr>
                <w:rFonts w:ascii="Times New Roman" w:hAnsi="Times New Roman" w:cs="Times New Roman"/>
                <w:color w:val="000000"/>
                <w:kern w:val="0"/>
                <w:sz w:val="24"/>
                <w:szCs w:val="22"/>
              </w:rPr>
              <w:t>5</w:t>
            </w:r>
            <w:r>
              <w:rPr>
                <w:rFonts w:hint="eastAsia" w:ascii="Times New Roman" w:hAnsi="Times New Roman" w:cs="Times New Roman"/>
                <w:color w:val="000000"/>
                <w:kern w:val="0"/>
                <w:sz w:val="24"/>
                <w:szCs w:val="22"/>
                <w:lang w:val="en-US" w:eastAsia="zh-CN"/>
              </w:rPr>
              <w:t>4</w:t>
            </w:r>
            <w:r>
              <w:rPr>
                <w:rFonts w:ascii="Times New Roman" w:hAnsi="Times New Roman" w:cs="Times New Roman"/>
                <w:color w:val="000000"/>
                <w:kern w:val="0"/>
                <w:sz w:val="24"/>
                <w:szCs w:val="22"/>
              </w:rPr>
              <w:t>mg/L、</w:t>
            </w:r>
            <w:r>
              <w:rPr>
                <w:rFonts w:hint="eastAsia" w:ascii="Times New Roman" w:hAnsi="Times New Roman" w:cs="Times New Roman"/>
                <w:color w:val="000000"/>
                <w:kern w:val="0"/>
                <w:sz w:val="24"/>
                <w:szCs w:val="22"/>
                <w:lang w:val="en-US" w:eastAsia="zh-CN"/>
              </w:rPr>
              <w:t>16.4</w:t>
            </w:r>
            <w:r>
              <w:rPr>
                <w:rFonts w:ascii="Times New Roman" w:hAnsi="Times New Roman" w:cs="Times New Roman"/>
                <w:color w:val="000000"/>
                <w:kern w:val="0"/>
                <w:sz w:val="24"/>
                <w:szCs w:val="22"/>
              </w:rPr>
              <w:t>mg/L、4</w:t>
            </w:r>
            <w:r>
              <w:rPr>
                <w:rFonts w:hint="eastAsia" w:ascii="Times New Roman" w:hAnsi="Times New Roman" w:cs="Times New Roman"/>
                <w:color w:val="000000"/>
                <w:kern w:val="0"/>
                <w:sz w:val="24"/>
                <w:szCs w:val="22"/>
                <w:lang w:val="en-US" w:eastAsia="zh-CN"/>
              </w:rPr>
              <w:t>1</w:t>
            </w:r>
            <w:r>
              <w:rPr>
                <w:rFonts w:ascii="Times New Roman" w:hAnsi="Times New Roman" w:cs="Times New Roman"/>
                <w:color w:val="000000"/>
                <w:kern w:val="0"/>
                <w:sz w:val="24"/>
                <w:szCs w:val="22"/>
              </w:rPr>
              <w:t>mg/L、0.1</w:t>
            </w:r>
            <w:r>
              <w:rPr>
                <w:rFonts w:hint="eastAsia" w:ascii="Times New Roman" w:hAnsi="Times New Roman" w:cs="Times New Roman"/>
                <w:color w:val="000000"/>
                <w:kern w:val="0"/>
                <w:sz w:val="24"/>
                <w:szCs w:val="22"/>
                <w:lang w:val="en-US" w:eastAsia="zh-CN"/>
              </w:rPr>
              <w:t>4</w:t>
            </w:r>
            <w:r>
              <w:rPr>
                <w:rFonts w:ascii="Times New Roman" w:hAnsi="Times New Roman" w:cs="Times New Roman"/>
                <w:color w:val="000000"/>
                <w:kern w:val="0"/>
                <w:sz w:val="24"/>
                <w:szCs w:val="22"/>
              </w:rPr>
              <w:t>mg/L、0.</w:t>
            </w:r>
            <w:r>
              <w:rPr>
                <w:rFonts w:hint="eastAsia" w:ascii="Times New Roman" w:hAnsi="Times New Roman" w:cs="Times New Roman"/>
                <w:color w:val="000000"/>
                <w:kern w:val="0"/>
                <w:sz w:val="24"/>
                <w:szCs w:val="22"/>
                <w:lang w:val="en-US" w:eastAsia="zh-CN"/>
              </w:rPr>
              <w:t>899</w:t>
            </w:r>
            <w:r>
              <w:rPr>
                <w:rFonts w:ascii="Times New Roman" w:hAnsi="Times New Roman" w:cs="Times New Roman"/>
                <w:color w:val="000000"/>
                <w:kern w:val="0"/>
                <w:sz w:val="24"/>
                <w:szCs w:val="22"/>
              </w:rPr>
              <w:t>mg/L、0.</w:t>
            </w:r>
            <w:r>
              <w:rPr>
                <w:rFonts w:hint="eastAsia" w:ascii="Times New Roman" w:hAnsi="Times New Roman" w:cs="Times New Roman"/>
                <w:color w:val="000000"/>
                <w:kern w:val="0"/>
                <w:sz w:val="24"/>
                <w:szCs w:val="22"/>
                <w:lang w:val="en-US" w:eastAsia="zh-CN"/>
              </w:rPr>
              <w:t>08</w:t>
            </w:r>
            <w:r>
              <w:rPr>
                <w:rFonts w:ascii="Times New Roman" w:hAnsi="Times New Roman" w:cs="Times New Roman"/>
                <w:color w:val="000000"/>
                <w:kern w:val="0"/>
                <w:sz w:val="24"/>
                <w:szCs w:val="22"/>
              </w:rPr>
              <w:t>mg/L、0.</w:t>
            </w:r>
            <w:r>
              <w:rPr>
                <w:rFonts w:hint="eastAsia" w:ascii="Times New Roman" w:hAnsi="Times New Roman" w:cs="Times New Roman"/>
                <w:color w:val="000000"/>
                <w:kern w:val="0"/>
                <w:sz w:val="24"/>
                <w:szCs w:val="22"/>
                <w:lang w:val="en-US" w:eastAsia="zh-CN"/>
              </w:rPr>
              <w:t>234</w:t>
            </w:r>
            <w:r>
              <w:rPr>
                <w:rFonts w:ascii="Times New Roman" w:hAnsi="Times New Roman" w:cs="Times New Roman"/>
                <w:color w:val="000000"/>
                <w:kern w:val="0"/>
                <w:sz w:val="24"/>
                <w:szCs w:val="22"/>
              </w:rPr>
              <w:t>mg/L</w:t>
            </w:r>
            <w:bookmarkEnd w:id="16"/>
            <w:r>
              <w:rPr>
                <w:rFonts w:ascii="Times New Roman" w:hAnsi="Times New Roman" w:cs="Times New Roman"/>
                <w:color w:val="000000"/>
                <w:kern w:val="0"/>
                <w:sz w:val="24"/>
                <w:szCs w:val="22"/>
              </w:rPr>
              <w:t>。pH值、COD</w:t>
            </w:r>
            <w:r>
              <w:rPr>
                <w:rFonts w:ascii="Times New Roman" w:hAnsi="Times New Roman" w:cs="Times New Roman"/>
                <w:color w:val="000000"/>
                <w:kern w:val="0"/>
                <w:sz w:val="24"/>
                <w:szCs w:val="22"/>
                <w:vertAlign w:val="subscript"/>
              </w:rPr>
              <w:t>Cr</w:t>
            </w:r>
            <w:r>
              <w:rPr>
                <w:rFonts w:ascii="Times New Roman" w:hAnsi="Times New Roman" w:cs="Times New Roman"/>
                <w:color w:val="000000"/>
                <w:kern w:val="0"/>
                <w:sz w:val="24"/>
                <w:szCs w:val="22"/>
              </w:rPr>
              <w:t>、BOD</w:t>
            </w:r>
            <w:r>
              <w:rPr>
                <w:rFonts w:ascii="Times New Roman" w:hAnsi="Times New Roman" w:cs="Times New Roman"/>
                <w:color w:val="000000"/>
                <w:kern w:val="0"/>
                <w:sz w:val="24"/>
                <w:szCs w:val="22"/>
                <w:vertAlign w:val="subscript"/>
              </w:rPr>
              <w:t>5</w:t>
            </w:r>
            <w:r>
              <w:rPr>
                <w:rFonts w:ascii="Times New Roman" w:hAnsi="Times New Roman" w:cs="Times New Roman"/>
                <w:color w:val="000000"/>
                <w:kern w:val="0"/>
                <w:sz w:val="24"/>
                <w:szCs w:val="22"/>
              </w:rPr>
              <w:t>、悬浮物、氨氮、动植物油、总磷监测结果既符合《汽车维修业水污染物排放标准》（GB26877-2011）表2中的间接排放限值标准要求也满足咸安经济开发区污水处理厂接管标准要求；石油类监测结果符合《汽车维修业水污染物排放标准》（GB26877-2011）表2中的间接排放限值标准要求。</w:t>
            </w:r>
          </w:p>
          <w:p>
            <w:pPr>
              <w:pStyle w:val="2"/>
              <w:numPr>
                <w:ilvl w:val="0"/>
                <w:numId w:val="4"/>
              </w:numPr>
              <w:spacing w:line="360" w:lineRule="auto"/>
              <w:rPr>
                <w:rFonts w:hint="default" w:ascii="Times New Roman" w:hAnsi="Times New Roman" w:cs="Times New Roman"/>
              </w:rPr>
            </w:pPr>
            <w:r>
              <w:rPr>
                <w:rFonts w:hint="default" w:ascii="Times New Roman" w:hAnsi="Times New Roman" w:cs="Times New Roman"/>
              </w:rPr>
              <w:t>废气</w:t>
            </w:r>
          </w:p>
          <w:p>
            <w:pPr>
              <w:pStyle w:val="2"/>
              <w:spacing w:line="360" w:lineRule="auto"/>
              <w:rPr>
                <w:rFonts w:hint="default" w:ascii="Times New Roman" w:hAnsi="Times New Roman" w:cs="Times New Roman"/>
              </w:rPr>
            </w:pPr>
            <w:r>
              <w:rPr>
                <w:rFonts w:hint="default" w:ascii="Times New Roman" w:hAnsi="Times New Roman" w:cs="Times New Roman"/>
              </w:rPr>
              <w:t>（1）有组织废气</w:t>
            </w:r>
          </w:p>
          <w:p>
            <w:pPr>
              <w:pStyle w:val="2"/>
              <w:tabs>
                <w:tab w:val="left" w:pos="2631"/>
              </w:tabs>
              <w:spacing w:line="360" w:lineRule="auto"/>
              <w:ind w:firstLine="480" w:firstLineChars="200"/>
              <w:rPr>
                <w:rFonts w:hint="default" w:ascii="Times New Roman" w:hAnsi="Times New Roman" w:cs="Times New Roman"/>
              </w:rPr>
            </w:pPr>
            <w:r>
              <w:rPr>
                <w:rFonts w:hint="default" w:ascii="Times New Roman" w:hAnsi="Times New Roman" w:cs="Times New Roman"/>
              </w:rPr>
              <w:t>喷漆房废气处理设施排放口◎1监测结果如下表9.2-2</w:t>
            </w:r>
          </w:p>
          <w:p>
            <w:pPr>
              <w:pStyle w:val="2"/>
              <w:tabs>
                <w:tab w:val="left" w:pos="2631"/>
                <w:tab w:val="left" w:pos="5747"/>
              </w:tabs>
              <w:spacing w:line="360" w:lineRule="auto"/>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 9.2-2 喷漆房废气处理设施排放口监测结果</w:t>
            </w:r>
          </w:p>
          <w:tbl>
            <w:tblPr>
              <w:tblStyle w:val="16"/>
              <w:tblW w:w="828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06"/>
              <w:gridCol w:w="941"/>
              <w:gridCol w:w="846"/>
              <w:gridCol w:w="846"/>
              <w:gridCol w:w="846"/>
              <w:gridCol w:w="846"/>
              <w:gridCol w:w="846"/>
              <w:gridCol w:w="851"/>
              <w:gridCol w:w="85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blHeader/>
              </w:trPr>
              <w:tc>
                <w:tcPr>
                  <w:tcW w:w="2347" w:type="dxa"/>
                  <w:gridSpan w:val="2"/>
                  <w:tcBorders>
                    <w:top w:val="single" w:color="auto" w:sz="12" w:space="0"/>
                    <w:left w:val="nil"/>
                    <w:bottom w:val="single" w:color="auto" w:sz="12" w:space="0"/>
                    <w:right w:val="single" w:color="auto" w:sz="8" w:space="0"/>
                  </w:tcBorders>
                  <w:vAlign w:val="center"/>
                </w:tcPr>
                <w:p>
                  <w:pPr>
                    <w:spacing w:line="240" w:lineRule="exact"/>
                    <w:jc w:val="center"/>
                    <w:rPr>
                      <w:rFonts w:ascii="Times New Roman" w:hAnsi="Times New Roman" w:cs="Times New Roman"/>
                    </w:rPr>
                  </w:pPr>
                  <w:bookmarkStart w:id="17" w:name="OLE_LINK9"/>
                  <w:r>
                    <w:rPr>
                      <w:rFonts w:ascii="Times New Roman" w:hAnsi="Times New Roman" w:cs="Times New Roman"/>
                    </w:rPr>
                    <w:t>采样日期</w:t>
                  </w:r>
                </w:p>
              </w:tc>
              <w:tc>
                <w:tcPr>
                  <w:tcW w:w="2538" w:type="dxa"/>
                  <w:gridSpan w:val="3"/>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2020.5.17</w:t>
                  </w:r>
                </w:p>
              </w:tc>
              <w:tc>
                <w:tcPr>
                  <w:tcW w:w="2543" w:type="dxa"/>
                  <w:gridSpan w:val="3"/>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2020.5.18</w:t>
                  </w:r>
                </w:p>
              </w:tc>
              <w:tc>
                <w:tcPr>
                  <w:tcW w:w="856" w:type="dxa"/>
                  <w:vMerge w:val="restart"/>
                  <w:tcBorders>
                    <w:top w:val="single" w:color="auto" w:sz="12" w:space="0"/>
                    <w:left w:val="single" w:color="auto" w:sz="8" w:space="0"/>
                    <w:right w:val="nil"/>
                  </w:tcBorders>
                  <w:vAlign w:val="center"/>
                </w:tcPr>
                <w:p>
                  <w:pPr>
                    <w:spacing w:line="240" w:lineRule="exact"/>
                    <w:jc w:val="center"/>
                    <w:rPr>
                      <w:rFonts w:ascii="Times New Roman" w:hAnsi="Times New Roman" w:cs="Times New Roman"/>
                    </w:rPr>
                  </w:pPr>
                  <w:r>
                    <w:rPr>
                      <w:rFonts w:ascii="Times New Roman" w:hAnsi="Times New Roman" w:cs="Times New Roman"/>
                    </w:rPr>
                    <w:t>标准</w:t>
                  </w:r>
                </w:p>
                <w:p>
                  <w:pPr>
                    <w:spacing w:line="240" w:lineRule="exact"/>
                    <w:jc w:val="center"/>
                    <w:rPr>
                      <w:rFonts w:ascii="Times New Roman" w:hAnsi="Times New Roman" w:cs="Times New Roman"/>
                    </w:rPr>
                  </w:pPr>
                  <w:r>
                    <w:rPr>
                      <w:rFonts w:ascii="Times New Roman" w:hAnsi="Times New Roman" w:cs="Times New Roman"/>
                    </w:rPr>
                    <w:t>限值</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blHeader/>
              </w:trPr>
              <w:tc>
                <w:tcPr>
                  <w:tcW w:w="1406" w:type="dxa"/>
                  <w:tcBorders>
                    <w:top w:val="single" w:color="auto" w:sz="12" w:space="0"/>
                    <w:left w:val="nil"/>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参数</w:t>
                  </w:r>
                </w:p>
              </w:tc>
              <w:tc>
                <w:tcPr>
                  <w:tcW w:w="941"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单位</w:t>
                  </w:r>
                </w:p>
              </w:tc>
              <w:tc>
                <w:tcPr>
                  <w:tcW w:w="846"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第一次</w:t>
                  </w:r>
                </w:p>
              </w:tc>
              <w:tc>
                <w:tcPr>
                  <w:tcW w:w="846"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第二次</w:t>
                  </w:r>
                </w:p>
              </w:tc>
              <w:tc>
                <w:tcPr>
                  <w:tcW w:w="846"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第三次</w:t>
                  </w:r>
                </w:p>
              </w:tc>
              <w:tc>
                <w:tcPr>
                  <w:tcW w:w="846"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第一次</w:t>
                  </w:r>
                </w:p>
              </w:tc>
              <w:tc>
                <w:tcPr>
                  <w:tcW w:w="846"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第二次</w:t>
                  </w:r>
                </w:p>
              </w:tc>
              <w:tc>
                <w:tcPr>
                  <w:tcW w:w="851" w:type="dxa"/>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第三次</w:t>
                  </w:r>
                </w:p>
              </w:tc>
              <w:tc>
                <w:tcPr>
                  <w:tcW w:w="856" w:type="dxa"/>
                  <w:vMerge w:val="continue"/>
                  <w:tcBorders>
                    <w:left w:val="single" w:color="auto" w:sz="8" w:space="0"/>
                    <w:bottom w:val="single" w:color="auto" w:sz="12" w:space="0"/>
                    <w:right w:val="nil"/>
                  </w:tcBorders>
                  <w:vAlign w:val="center"/>
                </w:tcPr>
                <w:p>
                  <w:pPr>
                    <w:spacing w:line="240" w:lineRule="exact"/>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8" w:space="0"/>
                    <w:right w:val="single" w:color="auto" w:sz="8" w:space="0"/>
                  </w:tcBorders>
                  <w:vAlign w:val="center"/>
                </w:tcPr>
                <w:p>
                  <w:pPr>
                    <w:spacing w:line="240" w:lineRule="exact"/>
                    <w:jc w:val="center"/>
                    <w:rPr>
                      <w:rFonts w:ascii="Times New Roman" w:hAnsi="Times New Roman" w:cs="Times New Roman"/>
                      <w:szCs w:val="21"/>
                    </w:rPr>
                  </w:pPr>
                  <w:bookmarkStart w:id="18" w:name="OLE_LINK18" w:colFirst="4" w:colLast="4"/>
                  <w:r>
                    <w:rPr>
                      <w:rFonts w:ascii="Times New Roman" w:hAnsi="Times New Roman" w:cs="Times New Roman"/>
                      <w:szCs w:val="21"/>
                    </w:rPr>
                    <w:t>测点管道截面积</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m²</w:t>
                  </w:r>
                </w:p>
              </w:tc>
              <w:tc>
                <w:tcPr>
                  <w:tcW w:w="2538"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0.5476</w:t>
                  </w:r>
                </w:p>
              </w:tc>
              <w:tc>
                <w:tcPr>
                  <w:tcW w:w="2543"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0.5476</w:t>
                  </w:r>
                </w:p>
              </w:tc>
              <w:tc>
                <w:tcPr>
                  <w:tcW w:w="856"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rPr>
                  </w:pPr>
                  <w:r>
                    <w:rPr>
                      <w:rFonts w:ascii="Times New Roman" w:hAnsi="Times New Roman" w:cs="Times New Roman"/>
                    </w:rPr>
                    <w:t>—</w:t>
                  </w:r>
                </w:p>
              </w:tc>
            </w:tr>
            <w:bookmarkEnd w:id="18"/>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工况流量</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m³/h</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16330</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16638</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16218</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16521</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16003</w:t>
                  </w:r>
                </w:p>
              </w:tc>
              <w:tc>
                <w:tcPr>
                  <w:tcW w:w="8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17398</w:t>
                  </w:r>
                </w:p>
              </w:tc>
              <w:tc>
                <w:tcPr>
                  <w:tcW w:w="856"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标干流量</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Nm³/h</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14239</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14458</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14090</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14335</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13796</w:t>
                  </w:r>
                </w:p>
              </w:tc>
              <w:tc>
                <w:tcPr>
                  <w:tcW w:w="8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14997</w:t>
                  </w:r>
                </w:p>
              </w:tc>
              <w:tc>
                <w:tcPr>
                  <w:tcW w:w="856"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VOCs（以非甲烷总烃计）</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mg/m³</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2.00</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2.08</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2.14</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1.51</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1.37</w:t>
                  </w:r>
                </w:p>
              </w:tc>
              <w:tc>
                <w:tcPr>
                  <w:tcW w:w="8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1.50</w:t>
                  </w:r>
                </w:p>
              </w:tc>
              <w:tc>
                <w:tcPr>
                  <w:tcW w:w="856"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40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exact"/>
              </w:trPr>
              <w:tc>
                <w:tcPr>
                  <w:tcW w:w="1406"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VOCs（以非甲烷总烃计）</w:t>
                  </w:r>
                  <w:r>
                    <w:rPr>
                      <w:rFonts w:ascii="Times New Roman" w:hAnsi="Times New Roman" w:cs="Times New Roman"/>
                      <w:szCs w:val="21"/>
                    </w:rPr>
                    <w:t>排放速率</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kg/h</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0.0285</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0.0301</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0.0302</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0.0216</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0.0189</w:t>
                  </w:r>
                </w:p>
              </w:tc>
              <w:tc>
                <w:tcPr>
                  <w:tcW w:w="851"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0.0225</w:t>
                  </w:r>
                </w:p>
              </w:tc>
              <w:tc>
                <w:tcPr>
                  <w:tcW w:w="856"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0.33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甲苯</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mg/m³</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0.121</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0.130</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0.0333</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0.107</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0.0891</w:t>
                  </w:r>
                </w:p>
              </w:tc>
              <w:tc>
                <w:tcPr>
                  <w:tcW w:w="8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0.0709</w:t>
                  </w:r>
                </w:p>
              </w:tc>
              <w:tc>
                <w:tcPr>
                  <w:tcW w:w="856" w:type="dxa"/>
                  <w:vMerge w:val="restart"/>
                  <w:tcBorders>
                    <w:top w:val="single" w:color="auto" w:sz="8" w:space="0"/>
                    <w:left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甲苯与二甲苯合计</w:t>
                  </w:r>
                </w:p>
                <w:p>
                  <w:pPr>
                    <w:spacing w:line="240" w:lineRule="exact"/>
                    <w:jc w:val="center"/>
                    <w:rPr>
                      <w:rFonts w:ascii="Times New Roman" w:hAnsi="Times New Roman" w:cs="Times New Roman"/>
                      <w:szCs w:val="21"/>
                    </w:rPr>
                  </w:pPr>
                  <w:r>
                    <w:rPr>
                      <w:rFonts w:ascii="Times New Roman" w:hAnsi="Times New Roman" w:cs="Times New Roman"/>
                      <w:szCs w:val="21"/>
                    </w:rPr>
                    <w:t>限值：20速率：0.18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甲苯排放速率</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kg/h</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0.0017</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0.0019</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0.0005</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0.0015</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0.0012</w:t>
                  </w:r>
                </w:p>
              </w:tc>
              <w:tc>
                <w:tcPr>
                  <w:tcW w:w="851"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0.0011</w:t>
                  </w:r>
                </w:p>
              </w:tc>
              <w:tc>
                <w:tcPr>
                  <w:tcW w:w="856" w:type="dxa"/>
                  <w:vMerge w:val="continue"/>
                  <w:tcBorders>
                    <w:left w:val="single" w:color="auto" w:sz="8" w:space="0"/>
                    <w:right w:val="nil"/>
                  </w:tcBorders>
                  <w:vAlign w:val="center"/>
                </w:tcPr>
                <w:p>
                  <w:pPr>
                    <w:spacing w:line="240" w:lineRule="exact"/>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二甲苯</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mg/m³</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0.0017</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0.0019</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0.0005</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0.0015</w:t>
                  </w:r>
                </w:p>
              </w:tc>
              <w:tc>
                <w:tcPr>
                  <w:tcW w:w="84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0.0012</w:t>
                  </w:r>
                </w:p>
              </w:tc>
              <w:tc>
                <w:tcPr>
                  <w:tcW w:w="851"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0.0011</w:t>
                  </w:r>
                </w:p>
              </w:tc>
              <w:tc>
                <w:tcPr>
                  <w:tcW w:w="856" w:type="dxa"/>
                  <w:vMerge w:val="continue"/>
                  <w:tcBorders>
                    <w:left w:val="single" w:color="auto" w:sz="8" w:space="0"/>
                    <w:right w:val="nil"/>
                  </w:tcBorders>
                  <w:vAlign w:val="center"/>
                </w:tcPr>
                <w:p>
                  <w:pPr>
                    <w:spacing w:line="240" w:lineRule="exact"/>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exact"/>
              </w:trPr>
              <w:tc>
                <w:tcPr>
                  <w:tcW w:w="1406"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二甲苯排放速率</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kg/h</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0.0026</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0.0014</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0.0003</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0.0019</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0.0007</w:t>
                  </w:r>
                </w:p>
              </w:tc>
              <w:tc>
                <w:tcPr>
                  <w:tcW w:w="8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0.0011</w:t>
                  </w:r>
                </w:p>
              </w:tc>
              <w:tc>
                <w:tcPr>
                  <w:tcW w:w="856" w:type="dxa"/>
                  <w:vMerge w:val="continue"/>
                  <w:tcBorders>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8" w:space="0"/>
                    <w:right w:val="single" w:color="auto" w:sz="8" w:space="0"/>
                  </w:tcBorders>
                  <w:shd w:val="clear" w:color="auto" w:fill="FFFFFF"/>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颗粒物</w:t>
                  </w:r>
                </w:p>
              </w:tc>
              <w:tc>
                <w:tcPr>
                  <w:tcW w:w="9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mg/m³</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2.8</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w:t>
                  </w:r>
                </w:p>
              </w:tc>
              <w:tc>
                <w:tcPr>
                  <w:tcW w:w="8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w:t>
                  </w:r>
                </w:p>
              </w:tc>
              <w:tc>
                <w:tcPr>
                  <w:tcW w:w="8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w:t>
                  </w:r>
                </w:p>
              </w:tc>
              <w:tc>
                <w:tcPr>
                  <w:tcW w:w="856" w:type="dxa"/>
                  <w:tcBorders>
                    <w:top w:val="single" w:color="auto" w:sz="8" w:space="0"/>
                    <w:left w:val="single" w:color="auto" w:sz="8" w:space="0"/>
                    <w:bottom w:val="single" w:color="auto" w:sz="8"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120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406" w:type="dxa"/>
                  <w:tcBorders>
                    <w:top w:val="single" w:color="auto" w:sz="8" w:space="0"/>
                    <w:left w:val="nil"/>
                    <w:bottom w:val="single" w:color="auto" w:sz="12" w:space="0"/>
                    <w:right w:val="single" w:color="auto" w:sz="8" w:space="0"/>
                  </w:tcBorders>
                  <w:shd w:val="clear" w:color="auto" w:fill="FFFFFF"/>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颗粒物排放速率</w:t>
                  </w:r>
                </w:p>
              </w:tc>
              <w:tc>
                <w:tcPr>
                  <w:tcW w:w="941" w:type="dxa"/>
                  <w:tcBorders>
                    <w:top w:val="single" w:color="auto" w:sz="8"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rPr>
                  </w:pPr>
                  <w:r>
                    <w:rPr>
                      <w:rFonts w:ascii="Times New Roman" w:hAnsi="Times New Roman" w:cs="Times New Roman"/>
                    </w:rPr>
                    <w:t>kg/h</w:t>
                  </w:r>
                </w:p>
              </w:tc>
              <w:tc>
                <w:tcPr>
                  <w:tcW w:w="846" w:type="dxa"/>
                  <w:tcBorders>
                    <w:top w:val="single" w:color="auto" w:sz="8" w:space="0"/>
                    <w:left w:val="single" w:color="auto" w:sz="8" w:space="0"/>
                    <w:bottom w:val="single" w:color="auto" w:sz="12"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0.0199</w:t>
                  </w:r>
                </w:p>
              </w:tc>
              <w:tc>
                <w:tcPr>
                  <w:tcW w:w="846" w:type="dxa"/>
                  <w:tcBorders>
                    <w:top w:val="single" w:color="auto" w:sz="8" w:space="0"/>
                    <w:left w:val="single" w:color="auto" w:sz="8" w:space="0"/>
                    <w:bottom w:val="single" w:color="auto" w:sz="12"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0.0405</w:t>
                  </w:r>
                </w:p>
              </w:tc>
              <w:tc>
                <w:tcPr>
                  <w:tcW w:w="846" w:type="dxa"/>
                  <w:tcBorders>
                    <w:top w:val="single" w:color="auto" w:sz="8" w:space="0"/>
                    <w:left w:val="single" w:color="auto" w:sz="8" w:space="0"/>
                    <w:bottom w:val="single" w:color="auto" w:sz="12"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0.0225</w:t>
                  </w:r>
                </w:p>
              </w:tc>
              <w:tc>
                <w:tcPr>
                  <w:tcW w:w="846" w:type="dxa"/>
                  <w:tcBorders>
                    <w:top w:val="single" w:color="auto" w:sz="8" w:space="0"/>
                    <w:left w:val="single" w:color="auto" w:sz="8" w:space="0"/>
                    <w:bottom w:val="single" w:color="auto" w:sz="12"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0.0229</w:t>
                  </w:r>
                </w:p>
              </w:tc>
              <w:tc>
                <w:tcPr>
                  <w:tcW w:w="846" w:type="dxa"/>
                  <w:tcBorders>
                    <w:top w:val="single" w:color="auto" w:sz="8" w:space="0"/>
                    <w:left w:val="single" w:color="auto" w:sz="8" w:space="0"/>
                    <w:bottom w:val="single" w:color="auto" w:sz="12"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0.0193</w:t>
                  </w:r>
                </w:p>
              </w:tc>
              <w:tc>
                <w:tcPr>
                  <w:tcW w:w="851" w:type="dxa"/>
                  <w:tcBorders>
                    <w:top w:val="single" w:color="auto" w:sz="8" w:space="0"/>
                    <w:left w:val="single" w:color="auto" w:sz="8" w:space="0"/>
                    <w:bottom w:val="single" w:color="auto" w:sz="12" w:space="0"/>
                    <w:right w:val="single" w:color="auto" w:sz="8" w:space="0"/>
                  </w:tcBorders>
                  <w:vAlign w:val="center"/>
                </w:tcPr>
                <w:p>
                  <w:pPr>
                    <w:widowControl/>
                    <w:spacing w:line="240" w:lineRule="exact"/>
                    <w:jc w:val="center"/>
                    <w:textAlignment w:val="center"/>
                    <w:rPr>
                      <w:rFonts w:ascii="Times New Roman" w:hAnsi="Times New Roman" w:cs="Times New Roman"/>
                      <w:szCs w:val="21"/>
                    </w:rPr>
                  </w:pPr>
                  <w:r>
                    <w:rPr>
                      <w:rFonts w:ascii="Times New Roman" w:hAnsi="Times New Roman" w:cs="Times New Roman"/>
                      <w:color w:val="000000"/>
                      <w:kern w:val="0"/>
                      <w:szCs w:val="21"/>
                    </w:rPr>
                    <w:t>0.0240</w:t>
                  </w:r>
                </w:p>
              </w:tc>
              <w:tc>
                <w:tcPr>
                  <w:tcW w:w="856" w:type="dxa"/>
                  <w:tcBorders>
                    <w:top w:val="single" w:color="auto" w:sz="8" w:space="0"/>
                    <w:left w:val="single" w:color="auto" w:sz="8" w:space="0"/>
                    <w:bottom w:val="single" w:color="auto" w:sz="12" w:space="0"/>
                    <w:right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0.78</w:t>
                  </w:r>
                </w:p>
              </w:tc>
            </w:tr>
            <w:bookmarkEnd w:id="17"/>
          </w:tbl>
          <w:p>
            <w:pPr>
              <w:pStyle w:val="2"/>
              <w:tabs>
                <w:tab w:val="left" w:pos="2631"/>
                <w:tab w:val="left" w:pos="5747"/>
              </w:tabs>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表9.2-3废气排气筒监测结果统计表</w:t>
            </w:r>
          </w:p>
          <w:tbl>
            <w:tblPr>
              <w:tblStyle w:val="16"/>
              <w:tblW w:w="8259"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47"/>
              <w:gridCol w:w="1277"/>
              <w:gridCol w:w="1309"/>
              <w:gridCol w:w="995"/>
              <w:gridCol w:w="928"/>
              <w:gridCol w:w="1049"/>
              <w:gridCol w:w="115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547" w:type="dxa"/>
                  <w:vMerge w:val="restart"/>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监测项目</w:t>
                  </w:r>
                </w:p>
              </w:tc>
              <w:tc>
                <w:tcPr>
                  <w:tcW w:w="2586" w:type="dxa"/>
                  <w:gridSpan w:val="2"/>
                  <w:tcBorders>
                    <w:bottom w:val="single" w:color="auto" w:sz="8"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VOCs（以非甲烷总烃计）</w:t>
                  </w:r>
                </w:p>
              </w:tc>
              <w:tc>
                <w:tcPr>
                  <w:tcW w:w="1923" w:type="dxa"/>
                  <w:gridSpan w:val="2"/>
                  <w:tcBorders>
                    <w:bottom w:val="single" w:color="auto" w:sz="8"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甲苯与二甲苯合计</w:t>
                  </w:r>
                </w:p>
              </w:tc>
              <w:tc>
                <w:tcPr>
                  <w:tcW w:w="2203" w:type="dxa"/>
                  <w:gridSpan w:val="2"/>
                  <w:tcBorders>
                    <w:bottom w:val="single" w:color="auto" w:sz="8"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6" w:hRule="atLeast"/>
              </w:trPr>
              <w:tc>
                <w:tcPr>
                  <w:tcW w:w="1547" w:type="dxa"/>
                  <w:vMerge w:val="continue"/>
                  <w:tcBorders>
                    <w:bottom w:val="single" w:color="auto" w:sz="12" w:space="0"/>
                  </w:tcBorders>
                  <w:vAlign w:val="center"/>
                </w:tcPr>
                <w:p>
                  <w:pPr>
                    <w:pStyle w:val="2"/>
                    <w:tabs>
                      <w:tab w:val="left" w:pos="2631"/>
                      <w:tab w:val="left" w:pos="5747"/>
                    </w:tabs>
                    <w:jc w:val="center"/>
                    <w:rPr>
                      <w:rFonts w:hint="default" w:ascii="Times New Roman" w:hAnsi="Times New Roman" w:cs="Times New Roman"/>
                      <w:b/>
                      <w:bCs/>
                      <w:sz w:val="21"/>
                      <w:szCs w:val="21"/>
                    </w:rPr>
                  </w:pPr>
                </w:p>
              </w:tc>
              <w:tc>
                <w:tcPr>
                  <w:tcW w:w="1277" w:type="dxa"/>
                  <w:tcBorders>
                    <w:top w:val="single" w:color="auto" w:sz="8" w:space="0"/>
                    <w:bottom w:val="single" w:color="auto" w:sz="12"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mg/m³</w:t>
                  </w:r>
                </w:p>
              </w:tc>
              <w:tc>
                <w:tcPr>
                  <w:tcW w:w="1309" w:type="dxa"/>
                  <w:tcBorders>
                    <w:top w:val="single" w:color="auto" w:sz="8" w:space="0"/>
                    <w:bottom w:val="single" w:color="auto" w:sz="12"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kg/h</w:t>
                  </w:r>
                </w:p>
              </w:tc>
              <w:tc>
                <w:tcPr>
                  <w:tcW w:w="995" w:type="dxa"/>
                  <w:tcBorders>
                    <w:top w:val="single" w:color="auto" w:sz="8" w:space="0"/>
                    <w:bottom w:val="single" w:color="auto" w:sz="12"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mg/m³</w:t>
                  </w:r>
                </w:p>
              </w:tc>
              <w:tc>
                <w:tcPr>
                  <w:tcW w:w="928" w:type="dxa"/>
                  <w:tcBorders>
                    <w:top w:val="single" w:color="auto" w:sz="8" w:space="0"/>
                    <w:bottom w:val="single" w:color="auto" w:sz="12"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kg/h</w:t>
                  </w:r>
                </w:p>
              </w:tc>
              <w:tc>
                <w:tcPr>
                  <w:tcW w:w="1049" w:type="dxa"/>
                  <w:tcBorders>
                    <w:top w:val="single" w:color="auto" w:sz="8" w:space="0"/>
                    <w:bottom w:val="single" w:color="auto" w:sz="12"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mg/m³</w:t>
                  </w:r>
                </w:p>
              </w:tc>
              <w:tc>
                <w:tcPr>
                  <w:tcW w:w="1154" w:type="dxa"/>
                  <w:tcBorders>
                    <w:top w:val="single" w:color="auto" w:sz="8" w:space="0"/>
                    <w:bottom w:val="single" w:color="auto" w:sz="12" w:space="0"/>
                  </w:tcBorders>
                  <w:vAlign w:val="center"/>
                </w:tcPr>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kg/h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547" w:type="dxa"/>
                  <w:tcBorders>
                    <w:top w:val="single" w:color="auto" w:sz="12" w:space="0"/>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szCs w:val="21"/>
                    </w:rPr>
                    <w:t>标准值</w:t>
                  </w:r>
                </w:p>
              </w:tc>
              <w:tc>
                <w:tcPr>
                  <w:tcW w:w="1277"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40</w:t>
                  </w:r>
                </w:p>
              </w:tc>
              <w:tc>
                <w:tcPr>
                  <w:tcW w:w="1309"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0.33</w:t>
                  </w:r>
                </w:p>
              </w:tc>
              <w:tc>
                <w:tcPr>
                  <w:tcW w:w="995"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20</w:t>
                  </w:r>
                </w:p>
              </w:tc>
              <w:tc>
                <w:tcPr>
                  <w:tcW w:w="928"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0.18</w:t>
                  </w:r>
                </w:p>
              </w:tc>
              <w:tc>
                <w:tcPr>
                  <w:tcW w:w="1049"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120</w:t>
                  </w:r>
                </w:p>
              </w:tc>
              <w:tc>
                <w:tcPr>
                  <w:tcW w:w="1154"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0.78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547" w:type="dxa"/>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szCs w:val="21"/>
                    </w:rPr>
                    <w:t>最小值</w:t>
                  </w:r>
                </w:p>
              </w:tc>
              <w:tc>
                <w:tcPr>
                  <w:tcW w:w="1277"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1.37</w:t>
                  </w:r>
                </w:p>
              </w:tc>
              <w:tc>
                <w:tcPr>
                  <w:tcW w:w="130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0.0189</w:t>
                  </w:r>
                </w:p>
              </w:tc>
              <w:tc>
                <w:tcPr>
                  <w:tcW w:w="99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0.0005</w:t>
                  </w:r>
                </w:p>
              </w:tc>
              <w:tc>
                <w:tcPr>
                  <w:tcW w:w="92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0.0003</w:t>
                  </w:r>
                </w:p>
              </w:tc>
              <w:tc>
                <w:tcPr>
                  <w:tcW w:w="104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1.4</w:t>
                  </w:r>
                </w:p>
              </w:tc>
              <w:tc>
                <w:tcPr>
                  <w:tcW w:w="1154"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0.0193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547" w:type="dxa"/>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szCs w:val="21"/>
                    </w:rPr>
                    <w:t>最大值</w:t>
                  </w:r>
                </w:p>
              </w:tc>
              <w:tc>
                <w:tcPr>
                  <w:tcW w:w="1277"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2.14</w:t>
                  </w:r>
                </w:p>
              </w:tc>
              <w:tc>
                <w:tcPr>
                  <w:tcW w:w="130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0.0302</w:t>
                  </w:r>
                </w:p>
              </w:tc>
              <w:tc>
                <w:tcPr>
                  <w:tcW w:w="99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0.130</w:t>
                  </w:r>
                </w:p>
              </w:tc>
              <w:tc>
                <w:tcPr>
                  <w:tcW w:w="92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0.0019</w:t>
                  </w:r>
                </w:p>
              </w:tc>
              <w:tc>
                <w:tcPr>
                  <w:tcW w:w="104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2.8</w:t>
                  </w:r>
                </w:p>
              </w:tc>
              <w:tc>
                <w:tcPr>
                  <w:tcW w:w="1154"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0.0405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547" w:type="dxa"/>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szCs w:val="21"/>
                    </w:rPr>
                    <w:t>达标率（%）</w:t>
                  </w:r>
                </w:p>
              </w:tc>
              <w:tc>
                <w:tcPr>
                  <w:tcW w:w="1277"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c>
                <w:tcPr>
                  <w:tcW w:w="130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c>
                <w:tcPr>
                  <w:tcW w:w="99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c>
                <w:tcPr>
                  <w:tcW w:w="92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c>
                <w:tcPr>
                  <w:tcW w:w="104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c>
                <w:tcPr>
                  <w:tcW w:w="1154"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547" w:type="dxa"/>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szCs w:val="21"/>
                    </w:rPr>
                    <w:t>超标率（%）</w:t>
                  </w:r>
                </w:p>
              </w:tc>
              <w:tc>
                <w:tcPr>
                  <w:tcW w:w="1277"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30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99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92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04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154"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547" w:type="dxa"/>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szCs w:val="21"/>
                    </w:rPr>
                    <w:t>最大超标倍数</w:t>
                  </w:r>
                </w:p>
              </w:tc>
              <w:tc>
                <w:tcPr>
                  <w:tcW w:w="1277"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30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99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92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049"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154"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r>
          </w:tbl>
          <w:p>
            <w:pPr>
              <w:pStyle w:val="2"/>
              <w:tabs>
                <w:tab w:val="left" w:pos="2631"/>
              </w:tabs>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验收监测期间：喷漆房废气处理设施排放口VOCs（以非甲烷总烃计）、甲苯与二甲苯合计排放浓度最大值分别为2.14mg/m</w:t>
            </w:r>
            <w:r>
              <w:rPr>
                <w:rFonts w:hint="default" w:ascii="Times New Roman" w:hAnsi="Times New Roman" w:cs="Times New Roman"/>
                <w:vertAlign w:val="superscript"/>
              </w:rPr>
              <w:t>3</w:t>
            </w:r>
            <w:r>
              <w:rPr>
                <w:rFonts w:hint="default" w:ascii="Times New Roman" w:hAnsi="Times New Roman" w:cs="Times New Roman"/>
              </w:rPr>
              <w:t>、0.130mg/m</w:t>
            </w:r>
            <w:r>
              <w:rPr>
                <w:rFonts w:hint="default" w:ascii="Times New Roman" w:hAnsi="Times New Roman" w:cs="Times New Roman"/>
                <w:vertAlign w:val="superscript"/>
              </w:rPr>
              <w:t>3</w:t>
            </w:r>
            <w:r>
              <w:rPr>
                <w:rFonts w:hint="default" w:ascii="Times New Roman" w:hAnsi="Times New Roman" w:cs="Times New Roman"/>
              </w:rPr>
              <w:t>；排放速率的最大值分别为0.0302kg/h、0.0019kg/h。监测结果均符合《天津市工业企业挥发性有机物排放控制标准》（DB12/524-2014）表2“汽车制造与维修行业”中标准限值要求；颗粒物排放浓度最大值为2.8mg/m</w:t>
            </w:r>
            <w:r>
              <w:rPr>
                <w:rFonts w:hint="default" w:ascii="Times New Roman" w:hAnsi="Times New Roman" w:cs="Times New Roman"/>
                <w:vertAlign w:val="superscript"/>
              </w:rPr>
              <w:t>3</w:t>
            </w:r>
            <w:r>
              <w:rPr>
                <w:rFonts w:hint="default" w:ascii="Times New Roman" w:hAnsi="Times New Roman" w:cs="Times New Roman"/>
              </w:rPr>
              <w:t>，排放速率最大值为0.0405kg/h，监测结果均符合《大气污染物综合排放标准》（GB16297-1996）表2中二级限值要求。</w:t>
            </w:r>
          </w:p>
          <w:p>
            <w:pPr>
              <w:pStyle w:val="2"/>
              <w:numPr>
                <w:ilvl w:val="0"/>
                <w:numId w:val="5"/>
              </w:numPr>
              <w:spacing w:line="360" w:lineRule="auto"/>
              <w:rPr>
                <w:rFonts w:hint="default" w:ascii="Times New Roman" w:hAnsi="Times New Roman" w:cs="Times New Roman"/>
              </w:rPr>
            </w:pPr>
            <w:r>
              <w:rPr>
                <w:rFonts w:hint="default" w:ascii="Times New Roman" w:hAnsi="Times New Roman" w:cs="Times New Roman"/>
              </w:rPr>
              <w:t>无组织废气</w:t>
            </w:r>
          </w:p>
          <w:p>
            <w:pPr>
              <w:pStyle w:val="2"/>
              <w:spacing w:line="360" w:lineRule="auto"/>
              <w:rPr>
                <w:rFonts w:hint="default" w:ascii="Times New Roman" w:hAnsi="Times New Roman" w:cs="Times New Roman"/>
              </w:rPr>
            </w:pPr>
            <w:r>
              <w:rPr>
                <w:rFonts w:hint="default" w:ascii="Times New Roman" w:hAnsi="Times New Roman" w:cs="Times New Roman"/>
              </w:rPr>
              <w:t>①厂界下风向无组织废气监测结果如下表9.2-4</w:t>
            </w:r>
          </w:p>
          <w:p>
            <w:pPr>
              <w:pStyle w:val="2"/>
              <w:tabs>
                <w:tab w:val="left" w:pos="2631"/>
                <w:tab w:val="left" w:pos="5747"/>
              </w:tabs>
              <w:spacing w:line="360" w:lineRule="auto"/>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表9.2-4无组织废气监测结果</w:t>
            </w:r>
          </w:p>
          <w:tbl>
            <w:tblPr>
              <w:tblStyle w:val="16"/>
              <w:tblW w:w="8196"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201"/>
              <w:gridCol w:w="1445"/>
              <w:gridCol w:w="1500"/>
              <w:gridCol w:w="1514"/>
              <w:gridCol w:w="1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60" w:type="dxa"/>
                  <w:vMerge w:val="restart"/>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1201" w:type="dxa"/>
                  <w:vMerge w:val="restart"/>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监测频次</w:t>
                  </w:r>
                </w:p>
              </w:tc>
              <w:tc>
                <w:tcPr>
                  <w:tcW w:w="2945" w:type="dxa"/>
                  <w:gridSpan w:val="2"/>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2020.5.17</w:t>
                  </w:r>
                </w:p>
              </w:tc>
              <w:tc>
                <w:tcPr>
                  <w:tcW w:w="2890" w:type="dxa"/>
                  <w:gridSpan w:val="2"/>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2020.5.18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blHeader/>
              </w:trPr>
              <w:tc>
                <w:tcPr>
                  <w:tcW w:w="1160"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201"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445"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00"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14"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76"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0" w:type="dxa"/>
                  <w:vMerge w:val="restart"/>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szCs w:val="21"/>
                    </w:rPr>
                    <w:t>颗粒物</w:t>
                  </w:r>
                </w:p>
                <w:p>
                  <w:pPr>
                    <w:pStyle w:val="22"/>
                    <w:spacing w:line="240" w:lineRule="auto"/>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0.133</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0.184</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0.150</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0.134</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0.200</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0.184</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0.167</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0.167</w:t>
                  </w:r>
                </w:p>
              </w:tc>
              <w:tc>
                <w:tcPr>
                  <w:tcW w:w="1514"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color w:val="auto"/>
                      <w:sz w:val="21"/>
                      <w:szCs w:val="21"/>
                    </w:rPr>
                    <w:t>0.217</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widowControl/>
                    <w:jc w:val="center"/>
                    <w:textAlignment w:val="bottom"/>
                    <w:rPr>
                      <w:rFonts w:ascii="Times New Roman" w:hAnsi="Times New Roman" w:cs="Times New Roman"/>
                      <w:szCs w:val="21"/>
                    </w:rPr>
                  </w:pPr>
                </w:p>
              </w:tc>
              <w:tc>
                <w:tcPr>
                  <w:tcW w:w="1201" w:type="dxa"/>
                  <w:tcBorders>
                    <w:tl2br w:val="nil"/>
                    <w:tr2bl w:val="nil"/>
                  </w:tcBorders>
                  <w:vAlign w:val="center"/>
                </w:tcPr>
                <w:p>
                  <w:pPr>
                    <w:widowControl/>
                    <w:jc w:val="center"/>
                    <w:textAlignment w:val="bottom"/>
                    <w:rPr>
                      <w:rFonts w:ascii="Times New Roman" w:hAnsi="Times New Roman" w:cs="Times New Roman"/>
                      <w:szCs w:val="21"/>
                    </w:rPr>
                  </w:pPr>
                  <w:r>
                    <w:rPr>
                      <w:rFonts w:ascii="Times New Roman" w:hAnsi="Times New Roman" w:cs="Times New Roman"/>
                      <w:szCs w:val="21"/>
                    </w:rPr>
                    <w:t>4</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0.217</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0.150</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0.200</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restart"/>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szCs w:val="21"/>
                    </w:rPr>
                    <w:t>二甲苯</w:t>
                  </w:r>
                </w:p>
                <w:p>
                  <w:pPr>
                    <w:pStyle w:val="22"/>
                    <w:spacing w:line="240" w:lineRule="auto"/>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widowControl/>
                    <w:jc w:val="center"/>
                    <w:textAlignment w:val="bottom"/>
                    <w:rPr>
                      <w:rFonts w:ascii="Times New Roman" w:hAnsi="Times New Roman" w:cs="Times New Roman"/>
                      <w:szCs w:val="21"/>
                    </w:rPr>
                  </w:pPr>
                </w:p>
              </w:tc>
              <w:tc>
                <w:tcPr>
                  <w:tcW w:w="1201" w:type="dxa"/>
                  <w:tcBorders>
                    <w:tl2br w:val="nil"/>
                    <w:tr2bl w:val="nil"/>
                  </w:tcBorders>
                  <w:vAlign w:val="center"/>
                </w:tcPr>
                <w:p>
                  <w:pPr>
                    <w:widowControl/>
                    <w:jc w:val="center"/>
                    <w:textAlignment w:val="bottom"/>
                    <w:rPr>
                      <w:rFonts w:ascii="Times New Roman" w:hAnsi="Times New Roman" w:cs="Times New Roman"/>
                      <w:szCs w:val="21"/>
                    </w:rPr>
                  </w:pPr>
                  <w:r>
                    <w:rPr>
                      <w:rFonts w:ascii="Times New Roman" w:hAnsi="Times New Roman" w:cs="Times New Roman"/>
                      <w:szCs w:val="21"/>
                    </w:rPr>
                    <w:t>4</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restart"/>
                  <w:tcBorders>
                    <w:tl2br w:val="nil"/>
                    <w:tr2bl w:val="nil"/>
                  </w:tcBorders>
                  <w:vAlign w:val="center"/>
                </w:tcPr>
                <w:p>
                  <w:pPr>
                    <w:widowControl/>
                    <w:jc w:val="center"/>
                    <w:textAlignment w:val="bottom"/>
                    <w:rPr>
                      <w:rFonts w:ascii="Times New Roman" w:hAnsi="Times New Roman" w:cs="Times New Roman"/>
                      <w:szCs w:val="21"/>
                    </w:rPr>
                  </w:pPr>
                  <w:r>
                    <w:rPr>
                      <w:rFonts w:ascii="Times New Roman" w:hAnsi="Times New Roman" w:cs="Times New Roman"/>
                      <w:szCs w:val="21"/>
                    </w:rPr>
                    <w:t>甲苯</w:t>
                  </w:r>
                </w:p>
                <w:p>
                  <w:pPr>
                    <w:pStyle w:val="8"/>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0.0173</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0.0216</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0.0122</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widowControl/>
                    <w:jc w:val="center"/>
                    <w:textAlignment w:val="bottom"/>
                    <w:rPr>
                      <w:rFonts w:ascii="Times New Roman" w:hAnsi="Times New Roman" w:cs="Times New Roman"/>
                      <w:szCs w:val="21"/>
                    </w:rPr>
                  </w:pP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0.0122</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0.0110</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0.0106</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widowControl/>
                    <w:jc w:val="center"/>
                    <w:textAlignment w:val="bottom"/>
                    <w:rPr>
                      <w:rFonts w:ascii="Times New Roman" w:hAnsi="Times New Roman" w:cs="Times New Roman"/>
                      <w:szCs w:val="21"/>
                    </w:rPr>
                  </w:pP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0.0180</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0.0123</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0.0135</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widowControl/>
                    <w:jc w:val="center"/>
                    <w:textAlignment w:val="bottom"/>
                    <w:rPr>
                      <w:rFonts w:ascii="Times New Roman" w:hAnsi="Times New Roman" w:cs="Times New Roman"/>
                      <w:szCs w:val="21"/>
                    </w:rPr>
                  </w:pPr>
                </w:p>
              </w:tc>
              <w:tc>
                <w:tcPr>
                  <w:tcW w:w="1201" w:type="dxa"/>
                  <w:tcBorders>
                    <w:tl2br w:val="nil"/>
                    <w:tr2bl w:val="nil"/>
                  </w:tcBorders>
                  <w:vAlign w:val="center"/>
                </w:tcPr>
                <w:p>
                  <w:pPr>
                    <w:widowControl/>
                    <w:jc w:val="center"/>
                    <w:textAlignment w:val="bottom"/>
                    <w:rPr>
                      <w:rFonts w:ascii="Times New Roman" w:hAnsi="Times New Roman" w:cs="Times New Roman"/>
                      <w:szCs w:val="21"/>
                    </w:rPr>
                  </w:pPr>
                  <w:r>
                    <w:rPr>
                      <w:rFonts w:ascii="Times New Roman" w:hAnsi="Times New Roman" w:cs="Times New Roman"/>
                      <w:szCs w:val="21"/>
                    </w:rPr>
                    <w:t>4</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0.0119</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0.0232</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0.0109</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60" w:type="dxa"/>
                  <w:vMerge w:val="restart"/>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bCs/>
                      <w:szCs w:val="21"/>
                    </w:rPr>
                    <w:t xml:space="preserve"> VOCs（以非甲烷总烃计）</w:t>
                  </w: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1.42</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1.23</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0.60</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1.26</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1.11</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0.49</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2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1.26</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1.30</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0.72</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0" w:type="dxa"/>
                  <w:vMerge w:val="continue"/>
                  <w:tcBorders>
                    <w:tl2br w:val="nil"/>
                    <w:tr2bl w:val="nil"/>
                  </w:tcBorders>
                  <w:vAlign w:val="center"/>
                </w:tcPr>
                <w:p>
                  <w:pPr>
                    <w:widowControl/>
                    <w:jc w:val="center"/>
                    <w:textAlignment w:val="bottom"/>
                    <w:rPr>
                      <w:rFonts w:ascii="Times New Roman" w:hAnsi="Times New Roman" w:cs="Times New Roman"/>
                      <w:szCs w:val="21"/>
                    </w:rPr>
                  </w:pPr>
                </w:p>
              </w:tc>
              <w:tc>
                <w:tcPr>
                  <w:tcW w:w="1201" w:type="dxa"/>
                  <w:tcBorders>
                    <w:tl2br w:val="nil"/>
                    <w:tr2bl w:val="nil"/>
                  </w:tcBorders>
                  <w:vAlign w:val="center"/>
                </w:tcPr>
                <w:p>
                  <w:pPr>
                    <w:widowControl/>
                    <w:jc w:val="center"/>
                    <w:textAlignment w:val="bottom"/>
                    <w:rPr>
                      <w:rFonts w:ascii="Times New Roman" w:hAnsi="Times New Roman" w:cs="Times New Roman"/>
                      <w:szCs w:val="21"/>
                    </w:rPr>
                  </w:pPr>
                  <w:r>
                    <w:rPr>
                      <w:rFonts w:ascii="Times New Roman" w:hAnsi="Times New Roman" w:cs="Times New Roman"/>
                      <w:szCs w:val="21"/>
                    </w:rPr>
                    <w:t>4</w:t>
                  </w:r>
                </w:p>
              </w:tc>
              <w:tc>
                <w:tcPr>
                  <w:tcW w:w="1445"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1.05</w:t>
                  </w:r>
                </w:p>
              </w:tc>
              <w:tc>
                <w:tcPr>
                  <w:tcW w:w="150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1.10</w:t>
                  </w:r>
                </w:p>
              </w:tc>
              <w:tc>
                <w:tcPr>
                  <w:tcW w:w="1514"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0.76</w:t>
                  </w:r>
                </w:p>
              </w:tc>
              <w:tc>
                <w:tcPr>
                  <w:tcW w:w="137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0.90</w:t>
                  </w:r>
                </w:p>
              </w:tc>
            </w:tr>
          </w:tbl>
          <w:p>
            <w:pPr>
              <w:pStyle w:val="2"/>
              <w:tabs>
                <w:tab w:val="left" w:pos="2631"/>
                <w:tab w:val="left" w:pos="5747"/>
              </w:tabs>
              <w:jc w:val="center"/>
              <w:rPr>
                <w:rFonts w:hint="default" w:ascii="Times New Roman" w:hAnsi="Times New Roman" w:cs="Times New Roman"/>
                <w:b/>
                <w:bCs/>
                <w:sz w:val="21"/>
                <w:szCs w:val="21"/>
              </w:rPr>
            </w:pPr>
            <w:bookmarkStart w:id="19" w:name="_Toc29887"/>
            <w:r>
              <w:rPr>
                <w:rFonts w:hint="default" w:ascii="Times New Roman" w:hAnsi="Times New Roman" w:cs="Times New Roman"/>
                <w:b/>
                <w:bCs/>
                <w:sz w:val="21"/>
                <w:szCs w:val="21"/>
              </w:rPr>
              <w:t>表9.2-5 无组织废气监测结果统计表</w:t>
            </w:r>
            <w:bookmarkEnd w:id="19"/>
            <w:r>
              <w:rPr>
                <w:rFonts w:hint="default" w:ascii="Times New Roman" w:hAnsi="Times New Roman" w:cs="Times New Roman"/>
                <w:b/>
                <w:bCs/>
                <w:sz w:val="21"/>
                <w:szCs w:val="21"/>
              </w:rPr>
              <w:t>（单位：mg/m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w:t>
            </w:r>
          </w:p>
          <w:tbl>
            <w:tblPr>
              <w:tblStyle w:val="16"/>
              <w:tblW w:w="8241"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28"/>
              <w:gridCol w:w="1538"/>
              <w:gridCol w:w="1725"/>
              <w:gridCol w:w="1345"/>
              <w:gridCol w:w="200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28" w:type="dxa"/>
                  <w:tcBorders>
                    <w:bottom w:val="single" w:color="auto" w:sz="12" w:space="0"/>
                  </w:tcBorders>
                  <w:vAlign w:val="center"/>
                </w:tcPr>
                <w:p>
                  <w:pPr>
                    <w:pStyle w:val="2"/>
                    <w:tabs>
                      <w:tab w:val="left" w:pos="2631"/>
                      <w:tab w:val="left" w:pos="5747"/>
                    </w:tabs>
                    <w:jc w:val="center"/>
                    <w:rPr>
                      <w:rFonts w:hint="default" w:ascii="Times New Roman" w:hAnsi="Times New Roman" w:cs="Times New Roman"/>
                      <w:sz w:val="21"/>
                      <w:szCs w:val="21"/>
                    </w:rPr>
                  </w:pPr>
                  <w:bookmarkStart w:id="20" w:name="_Toc27318"/>
                  <w:r>
                    <w:rPr>
                      <w:rFonts w:hint="default" w:ascii="Times New Roman" w:hAnsi="Times New Roman" w:cs="Times New Roman"/>
                      <w:sz w:val="21"/>
                      <w:szCs w:val="21"/>
                    </w:rPr>
                    <w:t>监测项目</w:t>
                  </w:r>
                  <w:bookmarkEnd w:id="20"/>
                </w:p>
              </w:tc>
              <w:tc>
                <w:tcPr>
                  <w:tcW w:w="1538" w:type="dxa"/>
                  <w:tcBorders>
                    <w:bottom w:val="single" w:color="auto" w:sz="12" w:space="0"/>
                  </w:tcBorders>
                  <w:vAlign w:val="center"/>
                </w:tcPr>
                <w:p>
                  <w:pPr>
                    <w:pStyle w:val="2"/>
                    <w:tabs>
                      <w:tab w:val="left" w:pos="2631"/>
                      <w:tab w:val="left" w:pos="5747"/>
                    </w:tabs>
                    <w:jc w:val="center"/>
                    <w:rPr>
                      <w:rFonts w:hint="default" w:ascii="Times New Roman" w:hAnsi="Times New Roman" w:cs="Times New Roman"/>
                      <w:sz w:val="21"/>
                      <w:szCs w:val="21"/>
                    </w:rPr>
                  </w:pPr>
                  <w:bookmarkStart w:id="21" w:name="_Toc16729"/>
                  <w:r>
                    <w:rPr>
                      <w:rFonts w:hint="default" w:ascii="Times New Roman" w:hAnsi="Times New Roman" w:cs="Times New Roman"/>
                      <w:sz w:val="21"/>
                      <w:szCs w:val="21"/>
                    </w:rPr>
                    <w:t>颗粒物</w:t>
                  </w:r>
                  <w:bookmarkEnd w:id="21"/>
                </w:p>
              </w:tc>
              <w:tc>
                <w:tcPr>
                  <w:tcW w:w="1725" w:type="dxa"/>
                  <w:tcBorders>
                    <w:bottom w:val="single" w:color="auto" w:sz="12" w:space="0"/>
                  </w:tcBorders>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二甲苯</w:t>
                  </w:r>
                </w:p>
              </w:tc>
              <w:tc>
                <w:tcPr>
                  <w:tcW w:w="1345" w:type="dxa"/>
                  <w:tcBorders>
                    <w:bottom w:val="single" w:color="auto" w:sz="12" w:space="0"/>
                  </w:tcBorders>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甲苯</w:t>
                  </w:r>
                </w:p>
              </w:tc>
              <w:tc>
                <w:tcPr>
                  <w:tcW w:w="2005" w:type="dxa"/>
                  <w:tcBorders>
                    <w:bottom w:val="single" w:color="auto" w:sz="12" w:space="0"/>
                  </w:tcBorders>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VOCs（以非甲烷总烃计）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28" w:type="dxa"/>
                  <w:tcBorders>
                    <w:top w:val="single" w:color="auto" w:sz="12" w:space="0"/>
                    <w:tl2br w:val="nil"/>
                    <w:tr2bl w:val="nil"/>
                  </w:tcBorders>
                  <w:vAlign w:val="center"/>
                </w:tcPr>
                <w:p>
                  <w:pPr>
                    <w:pStyle w:val="22"/>
                    <w:spacing w:line="240" w:lineRule="auto"/>
                    <w:rPr>
                      <w:rFonts w:ascii="Times New Roman" w:hAnsi="Times New Roman" w:cs="Times New Roman"/>
                      <w:szCs w:val="21"/>
                    </w:rPr>
                  </w:pPr>
                  <w:bookmarkStart w:id="22" w:name="_Toc21996"/>
                  <w:r>
                    <w:rPr>
                      <w:rFonts w:ascii="Times New Roman" w:hAnsi="Times New Roman" w:cs="Times New Roman"/>
                      <w:szCs w:val="21"/>
                    </w:rPr>
                    <w:t>标准值</w:t>
                  </w:r>
                  <w:bookmarkEnd w:id="22"/>
                </w:p>
              </w:tc>
              <w:tc>
                <w:tcPr>
                  <w:tcW w:w="1538"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w:t>
                  </w:r>
                </w:p>
              </w:tc>
              <w:tc>
                <w:tcPr>
                  <w:tcW w:w="1725"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0.2</w:t>
                  </w:r>
                </w:p>
              </w:tc>
              <w:tc>
                <w:tcPr>
                  <w:tcW w:w="1345"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0.6</w:t>
                  </w:r>
                </w:p>
              </w:tc>
              <w:tc>
                <w:tcPr>
                  <w:tcW w:w="2005" w:type="dxa"/>
                  <w:tcBorders>
                    <w:top w:val="single" w:color="auto" w:sz="12" w:space="0"/>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28" w:type="dxa"/>
                  <w:tcBorders>
                    <w:tl2br w:val="nil"/>
                    <w:tr2bl w:val="nil"/>
                  </w:tcBorders>
                  <w:vAlign w:val="center"/>
                </w:tcPr>
                <w:p>
                  <w:pPr>
                    <w:pStyle w:val="22"/>
                    <w:spacing w:line="240" w:lineRule="auto"/>
                    <w:rPr>
                      <w:rFonts w:ascii="Times New Roman" w:hAnsi="Times New Roman" w:cs="Times New Roman"/>
                      <w:szCs w:val="21"/>
                    </w:rPr>
                  </w:pPr>
                  <w:bookmarkStart w:id="23" w:name="_Toc25629"/>
                  <w:r>
                    <w:rPr>
                      <w:rFonts w:ascii="Times New Roman" w:hAnsi="Times New Roman" w:cs="Times New Roman"/>
                      <w:szCs w:val="21"/>
                    </w:rPr>
                    <w:t>最小值</w:t>
                  </w:r>
                  <w:bookmarkEnd w:id="23"/>
                </w:p>
              </w:tc>
              <w:tc>
                <w:tcPr>
                  <w:tcW w:w="153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0.133</w:t>
                  </w:r>
                </w:p>
              </w:tc>
              <w:tc>
                <w:tcPr>
                  <w:tcW w:w="172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ND</w:t>
                  </w:r>
                </w:p>
              </w:tc>
              <w:tc>
                <w:tcPr>
                  <w:tcW w:w="134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0.0106</w:t>
                  </w:r>
                </w:p>
              </w:tc>
              <w:tc>
                <w:tcPr>
                  <w:tcW w:w="200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0.49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28" w:type="dxa"/>
                  <w:tcBorders>
                    <w:tl2br w:val="nil"/>
                    <w:tr2bl w:val="nil"/>
                  </w:tcBorders>
                  <w:vAlign w:val="center"/>
                </w:tcPr>
                <w:p>
                  <w:pPr>
                    <w:pStyle w:val="22"/>
                    <w:spacing w:line="240" w:lineRule="auto"/>
                    <w:rPr>
                      <w:rFonts w:ascii="Times New Roman" w:hAnsi="Times New Roman" w:cs="Times New Roman"/>
                      <w:szCs w:val="21"/>
                    </w:rPr>
                  </w:pPr>
                  <w:bookmarkStart w:id="24" w:name="_Toc6918"/>
                  <w:r>
                    <w:rPr>
                      <w:rFonts w:ascii="Times New Roman" w:hAnsi="Times New Roman" w:cs="Times New Roman"/>
                      <w:szCs w:val="21"/>
                    </w:rPr>
                    <w:t>最大值</w:t>
                  </w:r>
                  <w:bookmarkEnd w:id="24"/>
                </w:p>
              </w:tc>
              <w:tc>
                <w:tcPr>
                  <w:tcW w:w="153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0.217</w:t>
                  </w:r>
                </w:p>
              </w:tc>
              <w:tc>
                <w:tcPr>
                  <w:tcW w:w="172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ND</w:t>
                  </w:r>
                </w:p>
              </w:tc>
              <w:tc>
                <w:tcPr>
                  <w:tcW w:w="134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0.0232</w:t>
                  </w:r>
                </w:p>
              </w:tc>
              <w:tc>
                <w:tcPr>
                  <w:tcW w:w="200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1.42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28" w:type="dxa"/>
                  <w:tcBorders>
                    <w:tl2br w:val="nil"/>
                    <w:tr2bl w:val="nil"/>
                  </w:tcBorders>
                  <w:vAlign w:val="center"/>
                </w:tcPr>
                <w:p>
                  <w:pPr>
                    <w:pStyle w:val="22"/>
                    <w:spacing w:line="240" w:lineRule="auto"/>
                    <w:rPr>
                      <w:rFonts w:ascii="Times New Roman" w:hAnsi="Times New Roman" w:cs="Times New Roman"/>
                      <w:szCs w:val="21"/>
                    </w:rPr>
                  </w:pPr>
                  <w:bookmarkStart w:id="25" w:name="_Toc18050"/>
                  <w:r>
                    <w:rPr>
                      <w:rFonts w:ascii="Times New Roman" w:hAnsi="Times New Roman" w:cs="Times New Roman"/>
                      <w:szCs w:val="21"/>
                    </w:rPr>
                    <w:t>达标率（%）</w:t>
                  </w:r>
                  <w:bookmarkEnd w:id="25"/>
                </w:p>
              </w:tc>
              <w:tc>
                <w:tcPr>
                  <w:tcW w:w="153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c>
                <w:tcPr>
                  <w:tcW w:w="172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c>
                <w:tcPr>
                  <w:tcW w:w="134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c>
                <w:tcPr>
                  <w:tcW w:w="200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28" w:type="dxa"/>
                  <w:tcBorders>
                    <w:tl2br w:val="nil"/>
                    <w:tr2bl w:val="nil"/>
                  </w:tcBorders>
                  <w:vAlign w:val="center"/>
                </w:tcPr>
                <w:p>
                  <w:pPr>
                    <w:pStyle w:val="22"/>
                    <w:spacing w:line="240" w:lineRule="auto"/>
                    <w:rPr>
                      <w:rFonts w:ascii="Times New Roman" w:hAnsi="Times New Roman" w:cs="Times New Roman"/>
                      <w:szCs w:val="21"/>
                    </w:rPr>
                  </w:pPr>
                  <w:bookmarkStart w:id="26" w:name="_Toc26193"/>
                  <w:r>
                    <w:rPr>
                      <w:rFonts w:ascii="Times New Roman" w:hAnsi="Times New Roman" w:cs="Times New Roman"/>
                      <w:szCs w:val="21"/>
                    </w:rPr>
                    <w:t>超标率（%）</w:t>
                  </w:r>
                  <w:bookmarkEnd w:id="26"/>
                </w:p>
              </w:tc>
              <w:tc>
                <w:tcPr>
                  <w:tcW w:w="153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72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34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200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28" w:type="dxa"/>
                  <w:tcBorders>
                    <w:tl2br w:val="nil"/>
                    <w:tr2bl w:val="nil"/>
                  </w:tcBorders>
                  <w:vAlign w:val="center"/>
                </w:tcPr>
                <w:p>
                  <w:pPr>
                    <w:pStyle w:val="22"/>
                    <w:spacing w:line="240" w:lineRule="auto"/>
                    <w:rPr>
                      <w:rFonts w:ascii="Times New Roman" w:hAnsi="Times New Roman" w:cs="Times New Roman"/>
                      <w:szCs w:val="21"/>
                    </w:rPr>
                  </w:pPr>
                  <w:bookmarkStart w:id="27" w:name="_Toc10521"/>
                  <w:r>
                    <w:rPr>
                      <w:rFonts w:ascii="Times New Roman" w:hAnsi="Times New Roman" w:cs="Times New Roman"/>
                      <w:szCs w:val="21"/>
                    </w:rPr>
                    <w:t>最大超标倍数</w:t>
                  </w:r>
                  <w:bookmarkEnd w:id="27"/>
                </w:p>
              </w:tc>
              <w:tc>
                <w:tcPr>
                  <w:tcW w:w="1538"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72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134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c>
                <w:tcPr>
                  <w:tcW w:w="2005" w:type="dxa"/>
                  <w:tcBorders>
                    <w:tl2br w:val="nil"/>
                    <w:tr2bl w:val="nil"/>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0</w:t>
                  </w:r>
                </w:p>
              </w:tc>
            </w:tr>
          </w:tbl>
          <w:p>
            <w:pPr>
              <w:pStyle w:val="2"/>
              <w:tabs>
                <w:tab w:val="left" w:pos="2631"/>
              </w:tabs>
              <w:spacing w:line="360" w:lineRule="auto"/>
              <w:ind w:firstLine="720" w:firstLineChars="300"/>
              <w:jc w:val="both"/>
              <w:rPr>
                <w:rFonts w:hint="default" w:ascii="Times New Roman" w:hAnsi="Times New Roman" w:cs="Times New Roman"/>
              </w:rPr>
            </w:pPr>
            <w:bookmarkStart w:id="28" w:name="_Toc17265"/>
            <w:r>
              <w:rPr>
                <w:rFonts w:hint="default" w:ascii="Times New Roman" w:hAnsi="Times New Roman" w:cs="Times New Roman"/>
              </w:rPr>
              <w:t>验收监测期间：厂界无组织监控点颗粒物排放浓度值最大值为0.217mg/m</w:t>
            </w:r>
            <w:r>
              <w:rPr>
                <w:rFonts w:hint="default" w:ascii="Times New Roman" w:hAnsi="Times New Roman" w:cs="Times New Roman"/>
                <w:vertAlign w:val="superscript"/>
              </w:rPr>
              <w:t>3</w:t>
            </w:r>
            <w:r>
              <w:rPr>
                <w:rFonts w:hint="default" w:ascii="Times New Roman" w:hAnsi="Times New Roman" w:cs="Times New Roman"/>
              </w:rPr>
              <w:t>，VOCs（以非甲烷总烃计）排放浓度最大值为1.42mg/m</w:t>
            </w:r>
            <w:r>
              <w:rPr>
                <w:rFonts w:hint="default" w:ascii="Times New Roman" w:hAnsi="Times New Roman" w:cs="Times New Roman"/>
                <w:vertAlign w:val="superscript"/>
              </w:rPr>
              <w:t>3</w:t>
            </w:r>
            <w:r>
              <w:rPr>
                <w:rFonts w:hint="default" w:ascii="Times New Roman" w:hAnsi="Times New Roman" w:cs="Times New Roman"/>
              </w:rPr>
              <w:t>，甲苯排放浓度最大值为0.0232mg/m</w:t>
            </w:r>
            <w:r>
              <w:rPr>
                <w:rFonts w:hint="default" w:ascii="Times New Roman" w:hAnsi="Times New Roman" w:cs="Times New Roman"/>
                <w:vertAlign w:val="superscript"/>
              </w:rPr>
              <w:t>3</w:t>
            </w:r>
            <w:r>
              <w:rPr>
                <w:rFonts w:hint="default" w:ascii="Times New Roman" w:hAnsi="Times New Roman" w:cs="Times New Roman"/>
              </w:rPr>
              <w:t>，二甲苯未检出，颗粒物监测结果符合《大气污染物综合排放标准》（GB 16297-1996）表2无组织排放监控浓度限值要求；VOCs（以非甲烷总烃计）、二甲苯、甲苯监测结果均符合《天津市工业企业挥发性有机物排放控制标准》（DB12/524-2014）表5无组织监控浓度要求。</w:t>
            </w:r>
            <w:bookmarkEnd w:id="28"/>
          </w:p>
          <w:p>
            <w:pPr>
              <w:pStyle w:val="2"/>
              <w:tabs>
                <w:tab w:val="left" w:pos="2631"/>
              </w:tabs>
              <w:spacing w:line="360" w:lineRule="auto"/>
              <w:jc w:val="both"/>
              <w:rPr>
                <w:rFonts w:hint="default" w:ascii="Times New Roman" w:hAnsi="Times New Roman" w:cs="Times New Roman"/>
              </w:rPr>
            </w:pPr>
            <w:r>
              <w:rPr>
                <w:rFonts w:hint="default" w:ascii="Times New Roman" w:hAnsi="Times New Roman" w:cs="Times New Roman"/>
              </w:rPr>
              <w:t>②喷漆车间外无组织废气监测结果如下表9.2-6</w:t>
            </w:r>
          </w:p>
          <w:p>
            <w:pPr>
              <w:pStyle w:val="2"/>
              <w:tabs>
                <w:tab w:val="left" w:pos="2631"/>
                <w:tab w:val="left" w:pos="5747"/>
              </w:tabs>
              <w:jc w:val="center"/>
              <w:rPr>
                <w:rFonts w:hint="default" w:ascii="Times New Roman" w:hAnsi="Times New Roman" w:cs="Times New Roman"/>
              </w:rPr>
            </w:pPr>
            <w:r>
              <w:rPr>
                <w:rFonts w:hint="default" w:ascii="Times New Roman" w:hAnsi="Times New Roman" w:cs="Times New Roman"/>
                <w:b/>
                <w:bCs/>
                <w:sz w:val="21"/>
                <w:szCs w:val="21"/>
              </w:rPr>
              <w:t>表9.2-6 无组织废气监测结果统计表（单位：mg/m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w:t>
            </w:r>
          </w:p>
          <w:tbl>
            <w:tblPr>
              <w:tblStyle w:val="16"/>
              <w:tblW w:w="7957" w:type="dxa"/>
              <w:tblInd w:w="17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104"/>
              <w:gridCol w:w="1896"/>
              <w:gridCol w:w="1718"/>
              <w:gridCol w:w="14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blHeader/>
              </w:trPr>
              <w:tc>
                <w:tcPr>
                  <w:tcW w:w="1773" w:type="dxa"/>
                  <w:vMerge w:val="restart"/>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1104" w:type="dxa"/>
                  <w:vMerge w:val="restart"/>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监测频次</w:t>
                  </w:r>
                </w:p>
              </w:tc>
              <w:tc>
                <w:tcPr>
                  <w:tcW w:w="1896"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2020.5.17</w:t>
                  </w:r>
                </w:p>
              </w:tc>
              <w:tc>
                <w:tcPr>
                  <w:tcW w:w="1718"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2020.5.18</w:t>
                  </w:r>
                </w:p>
              </w:tc>
              <w:tc>
                <w:tcPr>
                  <w:tcW w:w="1466" w:type="dxa"/>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blHeader/>
              </w:trPr>
              <w:tc>
                <w:tcPr>
                  <w:tcW w:w="1773"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104"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3614" w:type="dxa"/>
                  <w:gridSpan w:val="2"/>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喷漆车间外</w:t>
                  </w:r>
                </w:p>
              </w:tc>
              <w:tc>
                <w:tcPr>
                  <w:tcW w:w="1466" w:type="dxa"/>
                  <w:vMerge w:val="restart"/>
                  <w:tcBorders>
                    <w:tl2br w:val="nil"/>
                    <w:tr2bl w:val="nil"/>
                  </w:tcBorders>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73" w:type="dxa"/>
                  <w:vMerge w:val="restart"/>
                  <w:tcBorders>
                    <w:tl2br w:val="nil"/>
                    <w:tr2bl w:val="nil"/>
                  </w:tcBorders>
                  <w:vAlign w:val="center"/>
                </w:tcPr>
                <w:p>
                  <w:pPr>
                    <w:pStyle w:val="22"/>
                    <w:spacing w:line="240" w:lineRule="auto"/>
                    <w:rPr>
                      <w:rFonts w:ascii="Times New Roman" w:hAnsi="Times New Roman" w:cs="Times New Roman"/>
                      <w:szCs w:val="21"/>
                    </w:rPr>
                  </w:pPr>
                  <w:r>
                    <w:rPr>
                      <w:rFonts w:ascii="Times New Roman" w:hAnsi="Times New Roman" w:cs="Times New Roman"/>
                      <w:bCs/>
                      <w:szCs w:val="21"/>
                    </w:rPr>
                    <w:t>VOCs（以非甲烷总烃计）</w:t>
                  </w: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10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89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1.19</w:t>
                  </w:r>
                </w:p>
              </w:tc>
              <w:tc>
                <w:tcPr>
                  <w:tcW w:w="1718"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0.73</w:t>
                  </w:r>
                </w:p>
              </w:tc>
              <w:tc>
                <w:tcPr>
                  <w:tcW w:w="1466" w:type="dxa"/>
                  <w:vMerge w:val="continue"/>
                  <w:tcBorders>
                    <w:tl2br w:val="nil"/>
                    <w:tr2bl w:val="nil"/>
                  </w:tcBorders>
                  <w:vAlign w:val="center"/>
                </w:tcPr>
                <w:p>
                  <w:pPr>
                    <w:spacing w:line="240" w:lineRule="exact"/>
                    <w:jc w:val="center"/>
                    <w:rPr>
                      <w:rFonts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73"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10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89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1.06</w:t>
                  </w:r>
                </w:p>
              </w:tc>
              <w:tc>
                <w:tcPr>
                  <w:tcW w:w="1718"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0.58</w:t>
                  </w:r>
                </w:p>
              </w:tc>
              <w:tc>
                <w:tcPr>
                  <w:tcW w:w="1466" w:type="dxa"/>
                  <w:vMerge w:val="continue"/>
                  <w:tcBorders>
                    <w:tl2br w:val="nil"/>
                    <w:tr2bl w:val="nil"/>
                  </w:tcBorders>
                  <w:vAlign w:val="center"/>
                </w:tcPr>
                <w:p>
                  <w:pPr>
                    <w:spacing w:line="240" w:lineRule="exact"/>
                    <w:jc w:val="center"/>
                    <w:rPr>
                      <w:rFonts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73" w:type="dxa"/>
                  <w:vMerge w:val="continue"/>
                  <w:tcBorders>
                    <w:tl2br w:val="nil"/>
                    <w:tr2bl w:val="nil"/>
                  </w:tcBorders>
                  <w:vAlign w:val="center"/>
                </w:tcPr>
                <w:p>
                  <w:pPr>
                    <w:pStyle w:val="2"/>
                    <w:jc w:val="center"/>
                    <w:rPr>
                      <w:rFonts w:hint="default" w:ascii="Times New Roman" w:hAnsi="Times New Roman" w:cs="Times New Roman"/>
                      <w:sz w:val="21"/>
                      <w:szCs w:val="21"/>
                    </w:rPr>
                  </w:pPr>
                </w:p>
              </w:tc>
              <w:tc>
                <w:tcPr>
                  <w:tcW w:w="110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89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1.12</w:t>
                  </w:r>
                </w:p>
              </w:tc>
              <w:tc>
                <w:tcPr>
                  <w:tcW w:w="1718"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0.56</w:t>
                  </w:r>
                </w:p>
              </w:tc>
              <w:tc>
                <w:tcPr>
                  <w:tcW w:w="1466" w:type="dxa"/>
                  <w:vMerge w:val="continue"/>
                  <w:tcBorders>
                    <w:tl2br w:val="nil"/>
                    <w:tr2bl w:val="nil"/>
                  </w:tcBorders>
                  <w:vAlign w:val="center"/>
                </w:tcPr>
                <w:p>
                  <w:pPr>
                    <w:spacing w:line="240" w:lineRule="exact"/>
                    <w:jc w:val="center"/>
                    <w:rPr>
                      <w:rFonts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773" w:type="dxa"/>
                  <w:vMerge w:val="continue"/>
                  <w:tcBorders>
                    <w:tl2br w:val="nil"/>
                    <w:tr2bl w:val="nil"/>
                  </w:tcBorders>
                  <w:vAlign w:val="center"/>
                </w:tcPr>
                <w:p>
                  <w:pPr>
                    <w:widowControl/>
                    <w:jc w:val="center"/>
                    <w:textAlignment w:val="bottom"/>
                    <w:rPr>
                      <w:rFonts w:ascii="Times New Roman" w:hAnsi="Times New Roman" w:cs="Times New Roman"/>
                      <w:szCs w:val="21"/>
                    </w:rPr>
                  </w:pPr>
                </w:p>
              </w:tc>
              <w:tc>
                <w:tcPr>
                  <w:tcW w:w="1104" w:type="dxa"/>
                  <w:tcBorders>
                    <w:tl2br w:val="nil"/>
                    <w:tr2bl w:val="nil"/>
                  </w:tcBorders>
                  <w:vAlign w:val="center"/>
                </w:tcPr>
                <w:p>
                  <w:pPr>
                    <w:widowControl/>
                    <w:jc w:val="center"/>
                    <w:textAlignment w:val="bottom"/>
                    <w:rPr>
                      <w:rFonts w:ascii="Times New Roman" w:hAnsi="Times New Roman" w:cs="Times New Roman"/>
                      <w:szCs w:val="21"/>
                    </w:rPr>
                  </w:pPr>
                  <w:r>
                    <w:rPr>
                      <w:rFonts w:ascii="Times New Roman" w:hAnsi="Times New Roman" w:cs="Times New Roman"/>
                      <w:szCs w:val="21"/>
                    </w:rPr>
                    <w:t>4</w:t>
                  </w:r>
                </w:p>
              </w:tc>
              <w:tc>
                <w:tcPr>
                  <w:tcW w:w="189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1.47</w:t>
                  </w:r>
                </w:p>
              </w:tc>
              <w:tc>
                <w:tcPr>
                  <w:tcW w:w="1718"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0.74</w:t>
                  </w:r>
                </w:p>
              </w:tc>
              <w:tc>
                <w:tcPr>
                  <w:tcW w:w="1466" w:type="dxa"/>
                  <w:vMerge w:val="continue"/>
                  <w:tcBorders>
                    <w:tl2br w:val="nil"/>
                    <w:tr2bl w:val="nil"/>
                  </w:tcBorders>
                  <w:vAlign w:val="center"/>
                </w:tcPr>
                <w:p>
                  <w:pPr>
                    <w:spacing w:line="240" w:lineRule="exact"/>
                    <w:jc w:val="center"/>
                    <w:rPr>
                      <w:rFonts w:ascii="Times New Roman" w:hAnsi="Times New Roman" w:cs="Times New Roman"/>
                      <w:sz w:val="18"/>
                      <w:szCs w:val="18"/>
                    </w:rPr>
                  </w:pPr>
                </w:p>
              </w:tc>
            </w:tr>
          </w:tbl>
          <w:p>
            <w:pPr>
              <w:pStyle w:val="2"/>
              <w:tabs>
                <w:tab w:val="left" w:pos="2631"/>
              </w:tabs>
              <w:spacing w:line="360" w:lineRule="auto"/>
              <w:ind w:firstLine="720" w:firstLineChars="300"/>
              <w:jc w:val="both"/>
              <w:rPr>
                <w:rFonts w:hint="default" w:ascii="Times New Roman" w:hAnsi="Times New Roman" w:cs="Times New Roman"/>
              </w:rPr>
            </w:pPr>
            <w:r>
              <w:rPr>
                <w:rFonts w:hint="default" w:ascii="Times New Roman" w:hAnsi="Times New Roman" w:cs="Times New Roman"/>
              </w:rPr>
              <w:t>验收监测期间：喷漆车间外无组织监控点VOCs（以非甲烷总烃计）排放浓度值最大值为</w:t>
            </w:r>
            <w:r>
              <w:rPr>
                <w:rFonts w:ascii="Times New Roman" w:hAnsi="Times New Roman" w:cs="Times New Roman"/>
              </w:rPr>
              <w:t>1.47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；VOCs（以非甲烷总烃计）监测结果均符合《挥发性有机物无组织排放控制标准》（GB37822-2019）中附录A中无组织无组织排放监控浓度要求。</w:t>
            </w:r>
          </w:p>
          <w:p>
            <w:pPr>
              <w:pStyle w:val="2"/>
              <w:spacing w:line="360" w:lineRule="auto"/>
              <w:rPr>
                <w:rFonts w:hint="default" w:ascii="Times New Roman" w:hAnsi="Times New Roman" w:cs="Times New Roman"/>
              </w:rPr>
            </w:pPr>
            <w:r>
              <w:rPr>
                <w:rFonts w:hint="default" w:ascii="Times New Roman" w:hAnsi="Times New Roman" w:cs="Times New Roman"/>
              </w:rPr>
              <w:t>3、噪声</w:t>
            </w:r>
          </w:p>
          <w:p>
            <w:pPr>
              <w:pStyle w:val="2"/>
              <w:tabs>
                <w:tab w:val="left" w:pos="2631"/>
                <w:tab w:val="left" w:pos="5747"/>
              </w:tabs>
              <w:jc w:val="both"/>
              <w:rPr>
                <w:rFonts w:hint="default" w:ascii="Times New Roman" w:hAnsi="Times New Roman" w:cs="Times New Roman"/>
              </w:rPr>
            </w:pPr>
            <w:bookmarkStart w:id="29" w:name="_Toc28660"/>
            <w:r>
              <w:rPr>
                <w:rFonts w:hint="default" w:ascii="Times New Roman" w:hAnsi="Times New Roman" w:cs="Times New Roman"/>
              </w:rPr>
              <w:t>（1）噪声监测结果如下表9.2-</w:t>
            </w:r>
            <w:bookmarkEnd w:id="29"/>
            <w:r>
              <w:rPr>
                <w:rFonts w:hint="default" w:ascii="Times New Roman" w:hAnsi="Times New Roman" w:cs="Times New Roman"/>
              </w:rPr>
              <w:t>7</w:t>
            </w:r>
          </w:p>
          <w:p>
            <w:pPr>
              <w:pStyle w:val="2"/>
              <w:tabs>
                <w:tab w:val="left" w:pos="2631"/>
                <w:tab w:val="left" w:pos="5747"/>
              </w:tabs>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表9.2-7 噪声测量结果</w:t>
            </w:r>
          </w:p>
          <w:tbl>
            <w:tblPr>
              <w:tblStyle w:val="16"/>
              <w:tblW w:w="793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96"/>
              <w:gridCol w:w="722"/>
              <w:gridCol w:w="1594"/>
              <w:gridCol w:w="1087"/>
              <w:gridCol w:w="1525"/>
              <w:gridCol w:w="1080"/>
              <w:gridCol w:w="113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96" w:type="dxa"/>
                  <w:tcBorders>
                    <w:top w:val="single" w:color="auto" w:sz="12" w:space="0"/>
                  </w:tcBorders>
                  <w:vAlign w:val="center"/>
                </w:tcPr>
                <w:p>
                  <w:pPr>
                    <w:spacing w:line="300" w:lineRule="auto"/>
                    <w:jc w:val="center"/>
                    <w:rPr>
                      <w:rFonts w:ascii="Times New Roman" w:hAnsi="Times New Roman" w:cs="Times New Roman"/>
                      <w:b/>
                      <w:bCs/>
                      <w:szCs w:val="21"/>
                    </w:rPr>
                  </w:pPr>
                  <w:bookmarkStart w:id="30" w:name="_Toc23430"/>
                  <w:r>
                    <w:rPr>
                      <w:rFonts w:ascii="Times New Roman" w:hAnsi="Times New Roman" w:cs="Times New Roman"/>
                      <w:b/>
                      <w:bCs/>
                      <w:szCs w:val="21"/>
                    </w:rPr>
                    <w:t>监测时间</w:t>
                  </w:r>
                </w:p>
              </w:tc>
              <w:tc>
                <w:tcPr>
                  <w:tcW w:w="2316" w:type="dxa"/>
                  <w:gridSpan w:val="2"/>
                  <w:tcBorders>
                    <w:top w:val="single" w:color="auto" w:sz="12" w:space="0"/>
                  </w:tcBorders>
                  <w:vAlign w:val="center"/>
                </w:tcPr>
                <w:p>
                  <w:pPr>
                    <w:spacing w:line="300" w:lineRule="auto"/>
                    <w:jc w:val="center"/>
                    <w:rPr>
                      <w:rFonts w:ascii="Times New Roman" w:hAnsi="Times New Roman" w:cs="Times New Roman"/>
                      <w:b/>
                      <w:bCs/>
                      <w:szCs w:val="21"/>
                    </w:rPr>
                  </w:pPr>
                  <w:r>
                    <w:rPr>
                      <w:rFonts w:ascii="Times New Roman" w:hAnsi="Times New Roman" w:cs="Times New Roman"/>
                      <w:b/>
                      <w:bCs/>
                      <w:szCs w:val="21"/>
                    </w:rPr>
                    <w:t>监测点位</w:t>
                  </w:r>
                </w:p>
              </w:tc>
              <w:tc>
                <w:tcPr>
                  <w:tcW w:w="1087" w:type="dxa"/>
                  <w:tcBorders>
                    <w:top w:val="single" w:color="auto" w:sz="12" w:space="0"/>
                  </w:tcBorders>
                  <w:vAlign w:val="center"/>
                </w:tcPr>
                <w:p>
                  <w:pPr>
                    <w:spacing w:line="300" w:lineRule="auto"/>
                    <w:jc w:val="center"/>
                    <w:rPr>
                      <w:rFonts w:ascii="Times New Roman" w:hAnsi="Times New Roman" w:cs="Times New Roman"/>
                      <w:b/>
                      <w:bCs/>
                      <w:szCs w:val="21"/>
                    </w:rPr>
                  </w:pPr>
                  <w:r>
                    <w:rPr>
                      <w:rFonts w:ascii="Times New Roman" w:hAnsi="Times New Roman" w:cs="Times New Roman"/>
                      <w:b/>
                      <w:bCs/>
                      <w:szCs w:val="21"/>
                    </w:rPr>
                    <w:t>监测时间</w:t>
                  </w:r>
                </w:p>
              </w:tc>
              <w:tc>
                <w:tcPr>
                  <w:tcW w:w="1525" w:type="dxa"/>
                  <w:tcBorders>
                    <w:top w:val="single" w:color="auto" w:sz="12" w:space="0"/>
                  </w:tcBorders>
                  <w:vAlign w:val="center"/>
                </w:tcPr>
                <w:p>
                  <w:pPr>
                    <w:spacing w:line="300" w:lineRule="auto"/>
                    <w:jc w:val="center"/>
                    <w:rPr>
                      <w:rFonts w:ascii="Times New Roman" w:hAnsi="Times New Roman" w:cs="Times New Roman"/>
                      <w:b/>
                      <w:bCs/>
                      <w:szCs w:val="21"/>
                    </w:rPr>
                  </w:pPr>
                  <w:r>
                    <w:rPr>
                      <w:rFonts w:ascii="Times New Roman" w:hAnsi="Times New Roman" w:cs="Times New Roman"/>
                      <w:b/>
                      <w:bCs/>
                      <w:szCs w:val="21"/>
                    </w:rPr>
                    <w:t>测量值dB（A）</w:t>
                  </w:r>
                </w:p>
              </w:tc>
              <w:tc>
                <w:tcPr>
                  <w:tcW w:w="1080" w:type="dxa"/>
                  <w:tcBorders>
                    <w:top w:val="single" w:color="auto" w:sz="12" w:space="0"/>
                  </w:tcBorders>
                  <w:vAlign w:val="center"/>
                </w:tcPr>
                <w:p>
                  <w:pPr>
                    <w:spacing w:line="300" w:lineRule="auto"/>
                    <w:jc w:val="center"/>
                    <w:rPr>
                      <w:rFonts w:ascii="Times New Roman" w:hAnsi="Times New Roman" w:cs="Times New Roman"/>
                      <w:b/>
                      <w:bCs/>
                      <w:szCs w:val="21"/>
                    </w:rPr>
                  </w:pPr>
                  <w:r>
                    <w:rPr>
                      <w:rFonts w:ascii="Times New Roman" w:hAnsi="Times New Roman" w:cs="Times New Roman"/>
                      <w:b/>
                      <w:bCs/>
                      <w:szCs w:val="21"/>
                    </w:rPr>
                    <w:t>标准限值</w:t>
                  </w:r>
                </w:p>
              </w:tc>
              <w:tc>
                <w:tcPr>
                  <w:tcW w:w="1134" w:type="dxa"/>
                  <w:tcBorders>
                    <w:top w:val="single" w:color="auto" w:sz="12" w:space="0"/>
                  </w:tcBorders>
                  <w:vAlign w:val="center"/>
                </w:tcPr>
                <w:p>
                  <w:pPr>
                    <w:spacing w:line="300" w:lineRule="auto"/>
                    <w:jc w:val="center"/>
                    <w:rPr>
                      <w:rFonts w:ascii="Times New Roman" w:hAnsi="Times New Roman" w:cs="Times New Roman"/>
                      <w:b/>
                      <w:bCs/>
                      <w:szCs w:val="21"/>
                    </w:rPr>
                  </w:pPr>
                  <w:r>
                    <w:rPr>
                      <w:rFonts w:ascii="Times New Roman" w:hAnsi="Times New Roman" w:cs="Times New Roman"/>
                      <w:b/>
                      <w:bCs/>
                      <w:szCs w:val="21"/>
                    </w:rPr>
                    <w:t>达标情况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restart"/>
                  <w:tcBorders>
                    <w:top w:val="single" w:color="auto" w:sz="12" w:space="0"/>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2020.5.17</w:t>
                  </w:r>
                </w:p>
              </w:tc>
              <w:tc>
                <w:tcPr>
                  <w:tcW w:w="722" w:type="dxa"/>
                  <w:vMerge w:val="restart"/>
                  <w:tcBorders>
                    <w:top w:val="single" w:color="auto" w:sz="12" w:space="0"/>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w:t>
                  </w:r>
                </w:p>
              </w:tc>
              <w:tc>
                <w:tcPr>
                  <w:tcW w:w="1594" w:type="dxa"/>
                  <w:vMerge w:val="restart"/>
                  <w:tcBorders>
                    <w:top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厂界东侧外1m</w:t>
                  </w:r>
                </w:p>
              </w:tc>
              <w:tc>
                <w:tcPr>
                  <w:tcW w:w="1087"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15:21</w:t>
                  </w:r>
                </w:p>
              </w:tc>
              <w:tc>
                <w:tcPr>
                  <w:tcW w:w="1525"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57.4</w:t>
                  </w:r>
                </w:p>
              </w:tc>
              <w:tc>
                <w:tcPr>
                  <w:tcW w:w="1080" w:type="dxa"/>
                  <w:tcBorders>
                    <w:top w:val="single" w:color="auto" w:sz="12" w:space="0"/>
                  </w:tcBorders>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34" w:type="dxa"/>
                  <w:tcBorders>
                    <w:top w:val="single" w:color="auto" w:sz="12" w:space="0"/>
                  </w:tcBorders>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continue"/>
                  <w:vAlign w:val="center"/>
                </w:tcPr>
                <w:p>
                  <w:pPr>
                    <w:spacing w:line="300" w:lineRule="auto"/>
                    <w:jc w:val="center"/>
                    <w:rPr>
                      <w:rFonts w:ascii="Times New Roman" w:hAnsi="Times New Roman" w:cs="Times New Roman"/>
                      <w:szCs w:val="21"/>
                    </w:rPr>
                  </w:pPr>
                </w:p>
              </w:tc>
              <w:tc>
                <w:tcPr>
                  <w:tcW w:w="1594" w:type="dxa"/>
                  <w:vMerge w:val="continue"/>
                  <w:vAlign w:val="center"/>
                </w:tcPr>
                <w:p>
                  <w:pPr>
                    <w:jc w:val="center"/>
                    <w:rPr>
                      <w:rFonts w:ascii="Times New Roman" w:hAnsi="Times New Roman" w:cs="Times New Roman"/>
                      <w:szCs w:val="21"/>
                    </w:rPr>
                  </w:pP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22:06</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47.1</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restart"/>
                  <w:vAlign w:val="center"/>
                </w:tcPr>
                <w:p>
                  <w:pPr>
                    <w:spacing w:line="300" w:lineRule="auto"/>
                    <w:jc w:val="center"/>
                    <w:rPr>
                      <w:rFonts w:ascii="Times New Roman" w:hAnsi="Times New Roman" w:cs="Times New Roman"/>
                      <w:szCs w:val="21"/>
                    </w:rPr>
                  </w:pPr>
                  <w:r>
                    <w:rPr>
                      <w:rFonts w:ascii="Times New Roman" w:hAnsi="Times New Roman" w:cs="Times New Roman"/>
                      <w:szCs w:val="21"/>
                    </w:rPr>
                    <w:t>▲2</w:t>
                  </w:r>
                </w:p>
              </w:tc>
              <w:tc>
                <w:tcPr>
                  <w:tcW w:w="1594" w:type="dxa"/>
                  <w:vMerge w:val="restart"/>
                  <w:vAlign w:val="center"/>
                </w:tcPr>
                <w:p>
                  <w:pPr>
                    <w:jc w:val="center"/>
                    <w:rPr>
                      <w:rFonts w:ascii="Times New Roman" w:hAnsi="Times New Roman" w:cs="Times New Roman"/>
                      <w:szCs w:val="21"/>
                    </w:rPr>
                  </w:pPr>
                  <w:r>
                    <w:rPr>
                      <w:rFonts w:ascii="Times New Roman" w:hAnsi="Times New Roman" w:cs="Times New Roman"/>
                      <w:szCs w:val="21"/>
                    </w:rPr>
                    <w:t>厂界南侧外1m</w:t>
                  </w: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15:27</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61.7</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continue"/>
                  <w:vAlign w:val="center"/>
                </w:tcPr>
                <w:p>
                  <w:pPr>
                    <w:spacing w:line="300" w:lineRule="auto"/>
                    <w:jc w:val="center"/>
                    <w:rPr>
                      <w:rFonts w:ascii="Times New Roman" w:hAnsi="Times New Roman" w:cs="Times New Roman"/>
                      <w:szCs w:val="21"/>
                    </w:rPr>
                  </w:pPr>
                </w:p>
              </w:tc>
              <w:tc>
                <w:tcPr>
                  <w:tcW w:w="1594" w:type="dxa"/>
                  <w:vMerge w:val="continue"/>
                  <w:vAlign w:val="center"/>
                </w:tcPr>
                <w:p>
                  <w:pPr>
                    <w:jc w:val="center"/>
                    <w:rPr>
                      <w:rFonts w:ascii="Times New Roman" w:hAnsi="Times New Roman" w:cs="Times New Roman"/>
                      <w:szCs w:val="21"/>
                    </w:rPr>
                  </w:pP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22:11</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51.2</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restart"/>
                  <w:vAlign w:val="center"/>
                </w:tcPr>
                <w:p>
                  <w:pPr>
                    <w:spacing w:line="300" w:lineRule="auto"/>
                    <w:jc w:val="center"/>
                    <w:rPr>
                      <w:rFonts w:ascii="Times New Roman" w:hAnsi="Times New Roman" w:cs="Times New Roman"/>
                      <w:szCs w:val="21"/>
                    </w:rPr>
                  </w:pPr>
                  <w:r>
                    <w:rPr>
                      <w:rFonts w:ascii="Times New Roman" w:hAnsi="Times New Roman" w:cs="Times New Roman"/>
                      <w:szCs w:val="21"/>
                    </w:rPr>
                    <w:t>▲3</w:t>
                  </w:r>
                </w:p>
              </w:tc>
              <w:tc>
                <w:tcPr>
                  <w:tcW w:w="1594" w:type="dxa"/>
                  <w:vMerge w:val="restart"/>
                  <w:vAlign w:val="center"/>
                </w:tcPr>
                <w:p>
                  <w:pPr>
                    <w:jc w:val="center"/>
                    <w:rPr>
                      <w:rFonts w:ascii="Times New Roman" w:hAnsi="Times New Roman" w:cs="Times New Roman"/>
                      <w:szCs w:val="21"/>
                    </w:rPr>
                  </w:pPr>
                  <w:r>
                    <w:rPr>
                      <w:rFonts w:ascii="Times New Roman" w:hAnsi="Times New Roman" w:cs="Times New Roman"/>
                      <w:szCs w:val="21"/>
                    </w:rPr>
                    <w:t>厂界西侧外1m</w:t>
                  </w: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15:32</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59.0</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continue"/>
                  <w:vAlign w:val="center"/>
                </w:tcPr>
                <w:p>
                  <w:pPr>
                    <w:spacing w:line="300" w:lineRule="auto"/>
                    <w:jc w:val="center"/>
                    <w:rPr>
                      <w:rFonts w:ascii="Times New Roman" w:hAnsi="Times New Roman" w:cs="Times New Roman"/>
                      <w:szCs w:val="21"/>
                    </w:rPr>
                  </w:pPr>
                </w:p>
              </w:tc>
              <w:tc>
                <w:tcPr>
                  <w:tcW w:w="1594" w:type="dxa"/>
                  <w:vMerge w:val="continue"/>
                  <w:vAlign w:val="center"/>
                </w:tcPr>
                <w:p>
                  <w:pPr>
                    <w:jc w:val="center"/>
                    <w:rPr>
                      <w:rFonts w:ascii="Times New Roman" w:hAnsi="Times New Roman" w:cs="Times New Roman"/>
                      <w:szCs w:val="21"/>
                    </w:rPr>
                  </w:pP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22:17</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47.6</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restart"/>
                  <w:vAlign w:val="center"/>
                </w:tcPr>
                <w:p>
                  <w:pPr>
                    <w:spacing w:line="300" w:lineRule="auto"/>
                    <w:jc w:val="center"/>
                    <w:rPr>
                      <w:rFonts w:ascii="Times New Roman" w:hAnsi="Times New Roman" w:cs="Times New Roman"/>
                      <w:szCs w:val="21"/>
                    </w:rPr>
                  </w:pPr>
                  <w:r>
                    <w:rPr>
                      <w:rFonts w:ascii="Times New Roman" w:hAnsi="Times New Roman" w:cs="Times New Roman"/>
                      <w:szCs w:val="21"/>
                    </w:rPr>
                    <w:t>▲4</w:t>
                  </w:r>
                </w:p>
              </w:tc>
              <w:tc>
                <w:tcPr>
                  <w:tcW w:w="1594" w:type="dxa"/>
                  <w:vMerge w:val="restart"/>
                  <w:vAlign w:val="center"/>
                </w:tcPr>
                <w:p>
                  <w:pPr>
                    <w:jc w:val="center"/>
                    <w:rPr>
                      <w:rFonts w:ascii="Times New Roman" w:hAnsi="Times New Roman" w:cs="Times New Roman"/>
                      <w:szCs w:val="21"/>
                    </w:rPr>
                  </w:pPr>
                  <w:r>
                    <w:rPr>
                      <w:rFonts w:ascii="Times New Roman" w:hAnsi="Times New Roman" w:cs="Times New Roman"/>
                      <w:szCs w:val="21"/>
                    </w:rPr>
                    <w:t>厂界北侧外1m</w:t>
                  </w: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15:38</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58.4</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tcBorders>
                    <w:bottom w:val="single" w:color="auto" w:sz="12" w:space="0"/>
                  </w:tcBorders>
                  <w:vAlign w:val="center"/>
                </w:tcPr>
                <w:p>
                  <w:pPr>
                    <w:spacing w:line="300" w:lineRule="auto"/>
                    <w:jc w:val="center"/>
                    <w:rPr>
                      <w:rFonts w:ascii="Times New Roman" w:hAnsi="Times New Roman" w:cs="Times New Roman"/>
                      <w:szCs w:val="21"/>
                    </w:rPr>
                  </w:pPr>
                </w:p>
              </w:tc>
              <w:tc>
                <w:tcPr>
                  <w:tcW w:w="722" w:type="dxa"/>
                  <w:vMerge w:val="continue"/>
                  <w:tcBorders>
                    <w:bottom w:val="single" w:color="auto" w:sz="12" w:space="0"/>
                  </w:tcBorders>
                  <w:vAlign w:val="center"/>
                </w:tcPr>
                <w:p>
                  <w:pPr>
                    <w:spacing w:line="300" w:lineRule="auto"/>
                    <w:jc w:val="center"/>
                    <w:rPr>
                      <w:rFonts w:ascii="Times New Roman" w:hAnsi="Times New Roman" w:cs="Times New Roman"/>
                      <w:szCs w:val="21"/>
                    </w:rPr>
                  </w:pPr>
                </w:p>
              </w:tc>
              <w:tc>
                <w:tcPr>
                  <w:tcW w:w="1594" w:type="dxa"/>
                  <w:vMerge w:val="continue"/>
                  <w:tcBorders>
                    <w:bottom w:val="single" w:color="auto" w:sz="12" w:space="0"/>
                  </w:tcBorders>
                  <w:vAlign w:val="center"/>
                </w:tcPr>
                <w:p>
                  <w:pPr>
                    <w:jc w:val="center"/>
                    <w:rPr>
                      <w:rFonts w:ascii="Times New Roman" w:hAnsi="Times New Roman" w:cs="Times New Roman"/>
                      <w:szCs w:val="21"/>
                    </w:rPr>
                  </w:pPr>
                </w:p>
              </w:tc>
              <w:tc>
                <w:tcPr>
                  <w:tcW w:w="1087" w:type="dxa"/>
                  <w:tcBorders>
                    <w:bottom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22:24</w:t>
                  </w:r>
                </w:p>
              </w:tc>
              <w:tc>
                <w:tcPr>
                  <w:tcW w:w="1525" w:type="dxa"/>
                  <w:tcBorders>
                    <w:bottom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46.9</w:t>
                  </w:r>
                </w:p>
              </w:tc>
              <w:tc>
                <w:tcPr>
                  <w:tcW w:w="1080" w:type="dxa"/>
                  <w:tcBorders>
                    <w:bottom w:val="single" w:color="auto" w:sz="12" w:space="0"/>
                  </w:tcBorders>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134" w:type="dxa"/>
                  <w:tcBorders>
                    <w:bottom w:val="single" w:color="auto" w:sz="12" w:space="0"/>
                  </w:tcBorders>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restart"/>
                  <w:tcBorders>
                    <w:top w:val="single" w:color="auto" w:sz="12" w:space="0"/>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2020.5.18</w:t>
                  </w:r>
                </w:p>
              </w:tc>
              <w:tc>
                <w:tcPr>
                  <w:tcW w:w="722" w:type="dxa"/>
                  <w:vMerge w:val="restart"/>
                  <w:tcBorders>
                    <w:top w:val="single" w:color="auto" w:sz="12" w:space="0"/>
                  </w:tcBorders>
                  <w:vAlign w:val="center"/>
                </w:tcPr>
                <w:p>
                  <w:pPr>
                    <w:spacing w:line="300" w:lineRule="auto"/>
                    <w:jc w:val="center"/>
                    <w:rPr>
                      <w:rFonts w:ascii="Times New Roman" w:hAnsi="Times New Roman" w:cs="Times New Roman"/>
                      <w:szCs w:val="21"/>
                    </w:rPr>
                  </w:pPr>
                  <w:r>
                    <w:rPr>
                      <w:rFonts w:ascii="Times New Roman" w:hAnsi="Times New Roman" w:cs="Times New Roman"/>
                      <w:szCs w:val="21"/>
                    </w:rPr>
                    <w:t>▲1</w:t>
                  </w:r>
                </w:p>
              </w:tc>
              <w:tc>
                <w:tcPr>
                  <w:tcW w:w="1594" w:type="dxa"/>
                  <w:vMerge w:val="restart"/>
                  <w:tcBorders>
                    <w:top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厂界东侧外1m</w:t>
                  </w:r>
                </w:p>
              </w:tc>
              <w:tc>
                <w:tcPr>
                  <w:tcW w:w="1087"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15:25</w:t>
                  </w:r>
                </w:p>
              </w:tc>
              <w:tc>
                <w:tcPr>
                  <w:tcW w:w="1525" w:type="dxa"/>
                  <w:tcBorders>
                    <w:top w:val="single" w:color="auto" w:sz="12" w:space="0"/>
                  </w:tcBorders>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58.2</w:t>
                  </w:r>
                </w:p>
              </w:tc>
              <w:tc>
                <w:tcPr>
                  <w:tcW w:w="1080" w:type="dxa"/>
                  <w:tcBorders>
                    <w:top w:val="single" w:color="auto" w:sz="12" w:space="0"/>
                  </w:tcBorders>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34" w:type="dxa"/>
                  <w:tcBorders>
                    <w:top w:val="single" w:color="auto" w:sz="12" w:space="0"/>
                  </w:tcBorders>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continue"/>
                  <w:vAlign w:val="center"/>
                </w:tcPr>
                <w:p>
                  <w:pPr>
                    <w:spacing w:line="300" w:lineRule="auto"/>
                    <w:jc w:val="center"/>
                    <w:rPr>
                      <w:rFonts w:ascii="Times New Roman" w:hAnsi="Times New Roman" w:cs="Times New Roman"/>
                      <w:szCs w:val="21"/>
                    </w:rPr>
                  </w:pPr>
                </w:p>
              </w:tc>
              <w:tc>
                <w:tcPr>
                  <w:tcW w:w="1594" w:type="dxa"/>
                  <w:vMerge w:val="continue"/>
                  <w:vAlign w:val="center"/>
                </w:tcPr>
                <w:p>
                  <w:pPr>
                    <w:jc w:val="center"/>
                    <w:rPr>
                      <w:rFonts w:ascii="Times New Roman" w:hAnsi="Times New Roman" w:cs="Times New Roman"/>
                      <w:szCs w:val="21"/>
                    </w:rPr>
                  </w:pP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22:12</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48.2</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restart"/>
                  <w:vAlign w:val="center"/>
                </w:tcPr>
                <w:p>
                  <w:pPr>
                    <w:spacing w:line="300" w:lineRule="auto"/>
                    <w:jc w:val="center"/>
                    <w:rPr>
                      <w:rFonts w:ascii="Times New Roman" w:hAnsi="Times New Roman" w:cs="Times New Roman"/>
                      <w:szCs w:val="21"/>
                    </w:rPr>
                  </w:pPr>
                  <w:r>
                    <w:rPr>
                      <w:rFonts w:ascii="Times New Roman" w:hAnsi="Times New Roman" w:cs="Times New Roman"/>
                      <w:szCs w:val="21"/>
                    </w:rPr>
                    <w:t>▲2</w:t>
                  </w:r>
                </w:p>
              </w:tc>
              <w:tc>
                <w:tcPr>
                  <w:tcW w:w="1594" w:type="dxa"/>
                  <w:vMerge w:val="restart"/>
                  <w:vAlign w:val="center"/>
                </w:tcPr>
                <w:p>
                  <w:pPr>
                    <w:jc w:val="center"/>
                    <w:rPr>
                      <w:rFonts w:ascii="Times New Roman" w:hAnsi="Times New Roman" w:cs="Times New Roman"/>
                      <w:szCs w:val="21"/>
                    </w:rPr>
                  </w:pPr>
                  <w:r>
                    <w:rPr>
                      <w:rFonts w:ascii="Times New Roman" w:hAnsi="Times New Roman" w:cs="Times New Roman"/>
                      <w:szCs w:val="21"/>
                    </w:rPr>
                    <w:t>厂界南侧外1m</w:t>
                  </w: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15:31</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62.0</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continue"/>
                  <w:vAlign w:val="center"/>
                </w:tcPr>
                <w:p>
                  <w:pPr>
                    <w:spacing w:line="300" w:lineRule="auto"/>
                    <w:jc w:val="center"/>
                    <w:rPr>
                      <w:rFonts w:ascii="Times New Roman" w:hAnsi="Times New Roman" w:cs="Times New Roman"/>
                      <w:szCs w:val="21"/>
                    </w:rPr>
                  </w:pPr>
                </w:p>
              </w:tc>
              <w:tc>
                <w:tcPr>
                  <w:tcW w:w="1594" w:type="dxa"/>
                  <w:vMerge w:val="continue"/>
                  <w:vAlign w:val="center"/>
                </w:tcPr>
                <w:p>
                  <w:pPr>
                    <w:jc w:val="center"/>
                    <w:rPr>
                      <w:rFonts w:ascii="Times New Roman" w:hAnsi="Times New Roman" w:cs="Times New Roman"/>
                      <w:szCs w:val="21"/>
                    </w:rPr>
                  </w:pP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22:18</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51.4</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restart"/>
                  <w:vAlign w:val="center"/>
                </w:tcPr>
                <w:p>
                  <w:pPr>
                    <w:spacing w:line="300" w:lineRule="auto"/>
                    <w:jc w:val="center"/>
                    <w:rPr>
                      <w:rFonts w:ascii="Times New Roman" w:hAnsi="Times New Roman" w:cs="Times New Roman"/>
                      <w:szCs w:val="21"/>
                    </w:rPr>
                  </w:pPr>
                  <w:r>
                    <w:rPr>
                      <w:rFonts w:ascii="Times New Roman" w:hAnsi="Times New Roman" w:cs="Times New Roman"/>
                      <w:szCs w:val="21"/>
                    </w:rPr>
                    <w:t>▲3</w:t>
                  </w:r>
                </w:p>
              </w:tc>
              <w:tc>
                <w:tcPr>
                  <w:tcW w:w="1594" w:type="dxa"/>
                  <w:vMerge w:val="restart"/>
                  <w:vAlign w:val="center"/>
                </w:tcPr>
                <w:p>
                  <w:pPr>
                    <w:jc w:val="center"/>
                    <w:rPr>
                      <w:rFonts w:ascii="Times New Roman" w:hAnsi="Times New Roman" w:cs="Times New Roman"/>
                      <w:szCs w:val="21"/>
                    </w:rPr>
                  </w:pPr>
                  <w:r>
                    <w:rPr>
                      <w:rFonts w:ascii="Times New Roman" w:hAnsi="Times New Roman" w:cs="Times New Roman"/>
                      <w:szCs w:val="21"/>
                    </w:rPr>
                    <w:t>厂界西侧外1m</w:t>
                  </w: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15:37</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57.5</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continue"/>
                  <w:vAlign w:val="center"/>
                </w:tcPr>
                <w:p>
                  <w:pPr>
                    <w:spacing w:line="300" w:lineRule="auto"/>
                    <w:jc w:val="center"/>
                    <w:rPr>
                      <w:rFonts w:ascii="Times New Roman" w:hAnsi="Times New Roman" w:cs="Times New Roman"/>
                      <w:szCs w:val="21"/>
                    </w:rPr>
                  </w:pPr>
                </w:p>
              </w:tc>
              <w:tc>
                <w:tcPr>
                  <w:tcW w:w="1594" w:type="dxa"/>
                  <w:vMerge w:val="continue"/>
                  <w:vAlign w:val="center"/>
                </w:tcPr>
                <w:p>
                  <w:pPr>
                    <w:jc w:val="center"/>
                    <w:rPr>
                      <w:rFonts w:ascii="Times New Roman" w:hAnsi="Times New Roman" w:cs="Times New Roman"/>
                      <w:szCs w:val="21"/>
                    </w:rPr>
                  </w:pP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22:23</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47.5</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restart"/>
                  <w:vAlign w:val="center"/>
                </w:tcPr>
                <w:p>
                  <w:pPr>
                    <w:spacing w:line="300" w:lineRule="auto"/>
                    <w:jc w:val="center"/>
                    <w:rPr>
                      <w:rFonts w:ascii="Times New Roman" w:hAnsi="Times New Roman" w:cs="Times New Roman"/>
                      <w:szCs w:val="21"/>
                    </w:rPr>
                  </w:pPr>
                  <w:r>
                    <w:rPr>
                      <w:rFonts w:ascii="Times New Roman" w:hAnsi="Times New Roman" w:cs="Times New Roman"/>
                      <w:szCs w:val="21"/>
                    </w:rPr>
                    <w:t>▲4</w:t>
                  </w:r>
                </w:p>
              </w:tc>
              <w:tc>
                <w:tcPr>
                  <w:tcW w:w="1594" w:type="dxa"/>
                  <w:vMerge w:val="restart"/>
                  <w:vAlign w:val="center"/>
                </w:tcPr>
                <w:p>
                  <w:pPr>
                    <w:jc w:val="center"/>
                    <w:rPr>
                      <w:rFonts w:ascii="Times New Roman" w:hAnsi="Times New Roman" w:cs="Times New Roman"/>
                      <w:szCs w:val="21"/>
                    </w:rPr>
                  </w:pPr>
                  <w:r>
                    <w:rPr>
                      <w:rFonts w:ascii="Times New Roman" w:hAnsi="Times New Roman" w:cs="Times New Roman"/>
                      <w:szCs w:val="21"/>
                    </w:rPr>
                    <w:t>厂界北侧外1m</w:t>
                  </w: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15:42</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58.0</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796" w:type="dxa"/>
                  <w:vMerge w:val="continue"/>
                  <w:vAlign w:val="center"/>
                </w:tcPr>
                <w:p>
                  <w:pPr>
                    <w:spacing w:line="300" w:lineRule="auto"/>
                    <w:jc w:val="center"/>
                    <w:rPr>
                      <w:rFonts w:ascii="Times New Roman" w:hAnsi="Times New Roman" w:cs="Times New Roman"/>
                      <w:szCs w:val="21"/>
                    </w:rPr>
                  </w:pPr>
                </w:p>
              </w:tc>
              <w:tc>
                <w:tcPr>
                  <w:tcW w:w="722" w:type="dxa"/>
                  <w:vMerge w:val="continue"/>
                  <w:vAlign w:val="center"/>
                </w:tcPr>
                <w:p>
                  <w:pPr>
                    <w:spacing w:line="300" w:lineRule="auto"/>
                    <w:jc w:val="center"/>
                    <w:rPr>
                      <w:rFonts w:ascii="Times New Roman" w:hAnsi="Times New Roman" w:cs="Times New Roman"/>
                      <w:szCs w:val="21"/>
                    </w:rPr>
                  </w:pPr>
                </w:p>
              </w:tc>
              <w:tc>
                <w:tcPr>
                  <w:tcW w:w="1594" w:type="dxa"/>
                  <w:vMerge w:val="continue"/>
                  <w:vAlign w:val="center"/>
                </w:tcPr>
                <w:p>
                  <w:pPr>
                    <w:jc w:val="center"/>
                    <w:rPr>
                      <w:rFonts w:ascii="Times New Roman" w:hAnsi="Times New Roman" w:cs="Times New Roman"/>
                      <w:szCs w:val="21"/>
                    </w:rPr>
                  </w:pPr>
                </w:p>
              </w:tc>
              <w:tc>
                <w:tcPr>
                  <w:tcW w:w="1087"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22:29</w:t>
                  </w:r>
                </w:p>
              </w:tc>
              <w:tc>
                <w:tcPr>
                  <w:tcW w:w="1525" w:type="dxa"/>
                  <w:vAlign w:val="center"/>
                </w:tcPr>
                <w:p>
                  <w:pPr>
                    <w:spacing w:line="240" w:lineRule="exact"/>
                    <w:jc w:val="center"/>
                    <w:rPr>
                      <w:rFonts w:ascii="Times New Roman" w:hAnsi="Times New Roman" w:cs="Times New Roman"/>
                      <w:szCs w:val="21"/>
                    </w:rPr>
                  </w:pPr>
                  <w:r>
                    <w:rPr>
                      <w:rFonts w:ascii="Times New Roman" w:hAnsi="Times New Roman" w:cs="Times New Roman"/>
                      <w:bCs/>
                      <w:szCs w:val="21"/>
                    </w:rPr>
                    <w:t>47.1</w:t>
                  </w:r>
                </w:p>
              </w:tc>
              <w:tc>
                <w:tcPr>
                  <w:tcW w:w="1080" w:type="dxa"/>
                  <w:vAlign w:val="center"/>
                </w:tcPr>
                <w:p>
                  <w:pPr>
                    <w:pStyle w:val="2"/>
                    <w:tabs>
                      <w:tab w:val="left" w:pos="2631"/>
                      <w:tab w:val="left" w:pos="5747"/>
                    </w:tabs>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1134" w:type="dxa"/>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938" w:type="dxa"/>
                  <w:gridSpan w:val="7"/>
                  <w:tcBorders>
                    <w:bottom w:val="single" w:color="auto" w:sz="12" w:space="0"/>
                  </w:tcBorders>
                  <w:vAlign w:val="center"/>
                </w:tcPr>
                <w:p>
                  <w:pPr>
                    <w:adjustRightInd w:val="0"/>
                    <w:spacing w:line="240" w:lineRule="auto"/>
                    <w:jc w:val="center"/>
                    <w:rPr>
                      <w:rFonts w:ascii="Times New Roman" w:hAnsi="Times New Roman" w:cs="Times New Roman"/>
                      <w:szCs w:val="21"/>
                    </w:rPr>
                  </w:pPr>
                  <w:r>
                    <w:rPr>
                      <w:rFonts w:ascii="Times New Roman" w:hAnsi="Times New Roman" w:cs="Times New Roman"/>
                      <w:szCs w:val="21"/>
                    </w:rPr>
                    <w:t>根据《环境噪声监测技术规范 噪声测量值修正》（HJ 706-2014）规范要求，对于只需判断噪声源排放是否达标的情况，若噪声测量值低于相应噪声源排放标准的限</w:t>
                  </w:r>
                </w:p>
                <w:p>
                  <w:pPr>
                    <w:adjustRightInd w:val="0"/>
                    <w:spacing w:line="240" w:lineRule="auto"/>
                    <w:jc w:val="center"/>
                    <w:rPr>
                      <w:rFonts w:ascii="Times New Roman" w:hAnsi="Times New Roman" w:cs="Times New Roman"/>
                      <w:szCs w:val="21"/>
                    </w:rPr>
                  </w:pPr>
                  <w:r>
                    <w:rPr>
                      <w:rFonts w:ascii="Times New Roman" w:hAnsi="Times New Roman" w:cs="Times New Roman"/>
                      <w:szCs w:val="21"/>
                    </w:rPr>
                    <w:t>值，可以不进行背景噪声的测量及修正，注明后直接评价为达标。</w:t>
                  </w:r>
                </w:p>
              </w:tc>
            </w:tr>
            <w:bookmarkEnd w:id="30"/>
          </w:tbl>
          <w:p>
            <w:pPr>
              <w:spacing w:line="480" w:lineRule="exact"/>
              <w:ind w:firstLine="480" w:firstLineChars="200"/>
              <w:rPr>
                <w:rFonts w:ascii="Times New Roman" w:hAnsi="Times New Roman" w:cs="Times New Roman"/>
              </w:rPr>
            </w:pPr>
            <w:bookmarkStart w:id="31" w:name="_Toc2167"/>
            <w:r>
              <w:rPr>
                <w:rFonts w:ascii="Times New Roman" w:hAnsi="Times New Roman" w:cs="Times New Roman"/>
                <w:sz w:val="24"/>
              </w:rPr>
              <w:t>验收监测期间：</w:t>
            </w:r>
            <w:bookmarkEnd w:id="31"/>
            <w:r>
              <w:rPr>
                <w:rFonts w:ascii="Times New Roman" w:hAnsi="Times New Roman" w:cs="Times New Roman"/>
                <w:sz w:val="24"/>
              </w:rPr>
              <w:t>项目厂界▲1、▲3、▲4点位昼间噪声测量最大值为59.0dB(A)，夜间噪声测量最大值为48.2dB(A)，监测结果符合《工业企业厂界环境噪声排放标准》（GB12348-2008）3类功能区标准限值要求。项目厂界▲2点位昼间噪声测量最大值为62dB(A)，夜间噪声测量最大值为51.4dB(A)，监测结果符合《工业企业厂界环境噪声排放标准》（GB12348-2008）4类功能区标准限值要求。</w:t>
            </w:r>
          </w:p>
          <w:p>
            <w:pPr>
              <w:pStyle w:val="2"/>
              <w:spacing w:line="360" w:lineRule="auto"/>
              <w:rPr>
                <w:rFonts w:hint="default" w:ascii="Times New Roman" w:hAnsi="Times New Roman" w:cs="Times New Roman"/>
              </w:rPr>
            </w:pPr>
            <w:r>
              <w:rPr>
                <w:rFonts w:hint="default" w:ascii="Times New Roman" w:hAnsi="Times New Roman" w:cs="Times New Roman"/>
              </w:rPr>
              <w:t>4、总量监测</w:t>
            </w:r>
          </w:p>
          <w:p>
            <w:pPr>
              <w:ind w:firstLine="480" w:firstLineChars="200"/>
              <w:rPr>
                <w:rFonts w:ascii="Times New Roman" w:hAnsi="Times New Roman" w:cs="Times New Roman"/>
                <w:color w:val="000000"/>
                <w:kern w:val="0"/>
                <w:sz w:val="24"/>
                <w:szCs w:val="22"/>
              </w:rPr>
            </w:pPr>
            <w:r>
              <w:rPr>
                <w:rFonts w:ascii="Times New Roman" w:hAnsi="Times New Roman" w:cs="Times New Roman"/>
                <w:color w:val="000000"/>
                <w:kern w:val="0"/>
                <w:sz w:val="24"/>
                <w:szCs w:val="22"/>
              </w:rPr>
              <w:t>根据《咸宁黄浦丰田汽车销售服务有限公司咸宁一汽丰田4S店项目环境影响报告表》，核定本项目主要污染总量控制指标为：废水中COD0.0268/a、氨氮0.00268t/a、废气中VOCs0.004989t/a；废水排放浓度是依据咸安经济开发区污水处理厂COD及氨氮出水水质（《城镇污水处理厂污染物排放标准》（GB18918-2002）及修改单中一级标A标准）核算，详情见9.2-8。</w:t>
            </w:r>
          </w:p>
          <w:p>
            <w:pPr>
              <w:ind w:firstLine="2951" w:firstLineChars="1400"/>
              <w:rPr>
                <w:rFonts w:ascii="Times New Roman" w:hAnsi="Times New Roman" w:cs="Times New Roman"/>
                <w:b/>
                <w:bCs/>
                <w:lang w:val="zh-CN"/>
              </w:rPr>
            </w:pPr>
            <w:r>
              <w:rPr>
                <w:rFonts w:ascii="Times New Roman" w:hAnsi="Times New Roman" w:cs="Times New Roman"/>
                <w:b/>
                <w:bCs/>
                <w:lang w:val="zh-CN"/>
              </w:rPr>
              <w:t>表</w:t>
            </w:r>
            <w:r>
              <w:rPr>
                <w:rFonts w:ascii="Times New Roman" w:hAnsi="Times New Roman" w:cs="Times New Roman"/>
                <w:b/>
                <w:bCs/>
              </w:rPr>
              <w:t xml:space="preserve">9.2-8 </w:t>
            </w:r>
            <w:r>
              <w:rPr>
                <w:rFonts w:ascii="Times New Roman" w:hAnsi="Times New Roman" w:cs="Times New Roman"/>
                <w:b/>
                <w:bCs/>
                <w:lang w:val="zh-CN"/>
              </w:rPr>
              <w:t>总量监测结果表</w:t>
            </w:r>
          </w:p>
          <w:tbl>
            <w:tblPr>
              <w:tblStyle w:val="16"/>
              <w:tblW w:w="858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412"/>
              <w:gridCol w:w="1351"/>
              <w:gridCol w:w="1305"/>
              <w:gridCol w:w="1682"/>
              <w:gridCol w:w="127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9"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总量控制指标</w:t>
                  </w:r>
                </w:p>
              </w:tc>
              <w:tc>
                <w:tcPr>
                  <w:tcW w:w="1412"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排放浓度（mg/L）</w:t>
                  </w:r>
                </w:p>
              </w:tc>
              <w:tc>
                <w:tcPr>
                  <w:tcW w:w="1351"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废水年排放(m</w:t>
                  </w:r>
                  <w:r>
                    <w:rPr>
                      <w:rFonts w:ascii="Times New Roman" w:hAnsi="Times New Roman" w:cs="Times New Roman"/>
                      <w:b/>
                      <w:bCs/>
                      <w:vertAlign w:val="superscript"/>
                    </w:rPr>
                    <w:t>3</w:t>
                  </w:r>
                  <w:r>
                    <w:rPr>
                      <w:rFonts w:ascii="Times New Roman" w:hAnsi="Times New Roman" w:cs="Times New Roman"/>
                      <w:b/>
                      <w:bCs/>
                    </w:rPr>
                    <w:t>/a)</w:t>
                  </w:r>
                </w:p>
              </w:tc>
              <w:tc>
                <w:tcPr>
                  <w:tcW w:w="1305"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排放总量(t/a)</w:t>
                  </w:r>
                </w:p>
              </w:tc>
              <w:tc>
                <w:tcPr>
                  <w:tcW w:w="1682"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总量控制标准（t/a）</w:t>
                  </w:r>
                </w:p>
              </w:tc>
              <w:tc>
                <w:tcPr>
                  <w:tcW w:w="1273"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达标评价</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9" w:type="dxa"/>
                  <w:tcBorders>
                    <w:top w:val="single" w:color="auto" w:sz="12" w:space="0"/>
                  </w:tcBorders>
                  <w:vAlign w:val="center"/>
                </w:tcPr>
                <w:p>
                  <w:pPr>
                    <w:jc w:val="center"/>
                    <w:rPr>
                      <w:rFonts w:ascii="Times New Roman" w:hAnsi="Times New Roman" w:cs="Times New Roman"/>
                    </w:rPr>
                  </w:pPr>
                  <w:r>
                    <w:rPr>
                      <w:rFonts w:ascii="Times New Roman" w:hAnsi="Times New Roman" w:cs="Times New Roman"/>
                    </w:rPr>
                    <w:t>COD</w:t>
                  </w:r>
                </w:p>
              </w:tc>
              <w:tc>
                <w:tcPr>
                  <w:tcW w:w="1412" w:type="dxa"/>
                  <w:tcBorders>
                    <w:top w:val="single" w:color="auto" w:sz="12" w:space="0"/>
                  </w:tcBorders>
                  <w:vAlign w:val="center"/>
                </w:tcPr>
                <w:p>
                  <w:pPr>
                    <w:jc w:val="center"/>
                    <w:rPr>
                      <w:rFonts w:ascii="Times New Roman" w:hAnsi="Times New Roman" w:cs="Times New Roman"/>
                    </w:rPr>
                  </w:pPr>
                  <w:r>
                    <w:rPr>
                      <w:rFonts w:ascii="Times New Roman" w:hAnsi="Times New Roman" w:cs="Times New Roman"/>
                    </w:rPr>
                    <w:t>50</w:t>
                  </w:r>
                </w:p>
              </w:tc>
              <w:tc>
                <w:tcPr>
                  <w:tcW w:w="1351" w:type="dxa"/>
                  <w:vMerge w:val="restart"/>
                  <w:tcBorders>
                    <w:top w:val="single" w:color="auto" w:sz="12" w:space="0"/>
                  </w:tcBorders>
                  <w:vAlign w:val="center"/>
                </w:tcPr>
                <w:p>
                  <w:pPr>
                    <w:jc w:val="center"/>
                    <w:rPr>
                      <w:rFonts w:ascii="Times New Roman" w:hAnsi="Times New Roman" w:cs="Times New Roman"/>
                    </w:rPr>
                  </w:pPr>
                  <w:r>
                    <w:rPr>
                      <w:rFonts w:hint="eastAsia" w:ascii="Times New Roman" w:hAnsi="Times New Roman" w:cs="Times New Roman"/>
                    </w:rPr>
                    <w:t>448.2</w:t>
                  </w:r>
                </w:p>
              </w:tc>
              <w:tc>
                <w:tcPr>
                  <w:tcW w:w="1305" w:type="dxa"/>
                  <w:tcBorders>
                    <w:top w:val="single" w:color="auto" w:sz="12" w:space="0"/>
                  </w:tcBorders>
                  <w:vAlign w:val="center"/>
                </w:tcPr>
                <w:p>
                  <w:pPr>
                    <w:jc w:val="center"/>
                    <w:rPr>
                      <w:rFonts w:ascii="Times New Roman" w:hAnsi="Times New Roman" w:cs="Times New Roman"/>
                    </w:rPr>
                  </w:pPr>
                  <w:r>
                    <w:rPr>
                      <w:rFonts w:hint="eastAsia" w:ascii="Times New Roman" w:hAnsi="Times New Roman" w:cs="Times New Roman"/>
                    </w:rPr>
                    <w:t>0.02241</w:t>
                  </w:r>
                </w:p>
              </w:tc>
              <w:tc>
                <w:tcPr>
                  <w:tcW w:w="1682" w:type="dxa"/>
                  <w:tcBorders>
                    <w:top w:val="single" w:color="auto" w:sz="12" w:space="0"/>
                  </w:tcBorders>
                  <w:vAlign w:val="center"/>
                </w:tcPr>
                <w:p>
                  <w:pPr>
                    <w:jc w:val="center"/>
                    <w:rPr>
                      <w:rFonts w:ascii="Times New Roman" w:hAnsi="Times New Roman" w:cs="Times New Roman"/>
                    </w:rPr>
                  </w:pPr>
                  <w:r>
                    <w:rPr>
                      <w:rFonts w:ascii="Times New Roman" w:hAnsi="Times New Roman" w:cs="Times New Roman"/>
                    </w:rPr>
                    <w:t>0.0268</w:t>
                  </w:r>
                </w:p>
              </w:tc>
              <w:tc>
                <w:tcPr>
                  <w:tcW w:w="1273" w:type="dxa"/>
                  <w:tcBorders>
                    <w:top w:val="single" w:color="auto" w:sz="12" w:space="0"/>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9" w:type="dxa"/>
                  <w:tcBorders>
                    <w:bottom w:val="single" w:color="auto" w:sz="12" w:space="0"/>
                  </w:tcBorders>
                  <w:vAlign w:val="center"/>
                </w:tcPr>
                <w:p>
                  <w:pPr>
                    <w:jc w:val="center"/>
                    <w:rPr>
                      <w:rFonts w:ascii="Times New Roman" w:hAnsi="Times New Roman" w:cs="Times New Roman"/>
                    </w:rPr>
                  </w:pPr>
                  <w:r>
                    <w:rPr>
                      <w:rFonts w:ascii="Times New Roman" w:hAnsi="Times New Roman" w:cs="Times New Roman"/>
                    </w:rPr>
                    <w:t>氨氮</w:t>
                  </w:r>
                </w:p>
              </w:tc>
              <w:tc>
                <w:tcPr>
                  <w:tcW w:w="1412" w:type="dxa"/>
                  <w:tcBorders>
                    <w:bottom w:val="single" w:color="auto" w:sz="12" w:space="0"/>
                  </w:tcBorders>
                  <w:vAlign w:val="center"/>
                </w:tcPr>
                <w:p>
                  <w:pPr>
                    <w:jc w:val="center"/>
                    <w:rPr>
                      <w:rFonts w:ascii="Times New Roman" w:hAnsi="Times New Roman" w:cs="Times New Roman"/>
                    </w:rPr>
                  </w:pPr>
                  <w:r>
                    <w:rPr>
                      <w:rFonts w:ascii="Times New Roman" w:hAnsi="Times New Roman" w:cs="Times New Roman"/>
                    </w:rPr>
                    <w:t>5</w:t>
                  </w:r>
                </w:p>
              </w:tc>
              <w:tc>
                <w:tcPr>
                  <w:tcW w:w="1351" w:type="dxa"/>
                  <w:vMerge w:val="continue"/>
                  <w:tcBorders>
                    <w:bottom w:val="single" w:color="auto" w:sz="12" w:space="0"/>
                  </w:tcBorders>
                  <w:vAlign w:val="center"/>
                </w:tcPr>
                <w:p>
                  <w:pPr>
                    <w:jc w:val="center"/>
                    <w:rPr>
                      <w:rFonts w:ascii="Times New Roman" w:hAnsi="Times New Roman" w:cs="Times New Roman"/>
                    </w:rPr>
                  </w:pPr>
                </w:p>
              </w:tc>
              <w:tc>
                <w:tcPr>
                  <w:tcW w:w="1305" w:type="dxa"/>
                  <w:tcBorders>
                    <w:bottom w:val="single" w:color="auto" w:sz="12" w:space="0"/>
                  </w:tcBorders>
                  <w:vAlign w:val="center"/>
                </w:tcPr>
                <w:p>
                  <w:pPr>
                    <w:jc w:val="center"/>
                    <w:rPr>
                      <w:rFonts w:ascii="Times New Roman" w:hAnsi="Times New Roman" w:cs="Times New Roman"/>
                    </w:rPr>
                  </w:pPr>
                  <w:r>
                    <w:rPr>
                      <w:rFonts w:hint="eastAsia" w:ascii="Times New Roman" w:hAnsi="Times New Roman" w:cs="Times New Roman"/>
                    </w:rPr>
                    <w:t>0.002241</w:t>
                  </w:r>
                </w:p>
              </w:tc>
              <w:tc>
                <w:tcPr>
                  <w:tcW w:w="1682" w:type="dxa"/>
                  <w:tcBorders>
                    <w:bottom w:val="single" w:color="auto" w:sz="12" w:space="0"/>
                  </w:tcBorders>
                  <w:vAlign w:val="center"/>
                </w:tcPr>
                <w:p>
                  <w:pPr>
                    <w:jc w:val="center"/>
                    <w:rPr>
                      <w:rFonts w:ascii="Times New Roman" w:hAnsi="Times New Roman" w:cs="Times New Roman"/>
                    </w:rPr>
                  </w:pPr>
                  <w:r>
                    <w:rPr>
                      <w:rFonts w:ascii="Times New Roman" w:hAnsi="Times New Roman" w:cs="Times New Roman"/>
                    </w:rPr>
                    <w:t>0.00268</w:t>
                  </w:r>
                </w:p>
              </w:tc>
              <w:tc>
                <w:tcPr>
                  <w:tcW w:w="1273" w:type="dxa"/>
                  <w:tcBorders>
                    <w:bottom w:val="single" w:color="auto" w:sz="12" w:space="0"/>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9"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总量控制指标</w:t>
                  </w:r>
                </w:p>
              </w:tc>
              <w:tc>
                <w:tcPr>
                  <w:tcW w:w="1412"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排放速率(kg/h)</w:t>
                  </w:r>
                </w:p>
              </w:tc>
              <w:tc>
                <w:tcPr>
                  <w:tcW w:w="1351"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工作时间</w:t>
                  </w:r>
                </w:p>
                <w:p>
                  <w:pPr>
                    <w:jc w:val="center"/>
                    <w:rPr>
                      <w:rFonts w:ascii="Times New Roman" w:hAnsi="Times New Roman" w:cs="Times New Roman"/>
                      <w:b/>
                      <w:bCs/>
                    </w:rPr>
                  </w:pPr>
                  <w:r>
                    <w:rPr>
                      <w:rFonts w:ascii="Times New Roman" w:hAnsi="Times New Roman" w:cs="Times New Roman"/>
                      <w:b/>
                      <w:bCs/>
                    </w:rPr>
                    <w:t>（h）</w:t>
                  </w:r>
                </w:p>
              </w:tc>
              <w:tc>
                <w:tcPr>
                  <w:tcW w:w="1305"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排放总量(t/a)</w:t>
                  </w:r>
                </w:p>
              </w:tc>
              <w:tc>
                <w:tcPr>
                  <w:tcW w:w="1682"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总量控制标准（t/a）</w:t>
                  </w:r>
                </w:p>
              </w:tc>
              <w:tc>
                <w:tcPr>
                  <w:tcW w:w="1273" w:type="dxa"/>
                  <w:tcBorders>
                    <w:top w:val="single" w:color="auto" w:sz="12" w:space="0"/>
                    <w:bottom w:val="single" w:color="auto" w:sz="12" w:space="0"/>
                  </w:tcBorders>
                  <w:vAlign w:val="center"/>
                </w:tcPr>
                <w:p>
                  <w:pPr>
                    <w:jc w:val="center"/>
                    <w:rPr>
                      <w:rFonts w:ascii="Times New Roman" w:hAnsi="Times New Roman" w:cs="Times New Roman"/>
                      <w:b/>
                      <w:bCs/>
                    </w:rPr>
                  </w:pPr>
                  <w:r>
                    <w:rPr>
                      <w:rFonts w:ascii="Times New Roman" w:hAnsi="Times New Roman" w:cs="Times New Roman"/>
                      <w:b/>
                      <w:bCs/>
                    </w:rPr>
                    <w:t>达标评价</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9" w:type="dxa"/>
                  <w:tcBorders>
                    <w:top w:val="single" w:color="auto" w:sz="12" w:space="0"/>
                  </w:tcBorders>
                  <w:vAlign w:val="center"/>
                </w:tcPr>
                <w:p>
                  <w:pPr>
                    <w:jc w:val="center"/>
                    <w:rPr>
                      <w:rFonts w:ascii="Times New Roman" w:hAnsi="Times New Roman" w:cs="Times New Roman"/>
                    </w:rPr>
                  </w:pPr>
                  <w:r>
                    <w:rPr>
                      <w:rFonts w:ascii="Times New Roman" w:hAnsi="Times New Roman" w:cs="Times New Roman"/>
                    </w:rPr>
                    <w:t>VOCs（以非甲烷总烃计）</w:t>
                  </w:r>
                </w:p>
              </w:tc>
              <w:tc>
                <w:tcPr>
                  <w:tcW w:w="1412" w:type="dxa"/>
                  <w:tcBorders>
                    <w:top w:val="single" w:color="auto" w:sz="12" w:space="0"/>
                  </w:tcBorders>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0.0253</w:t>
                  </w:r>
                </w:p>
              </w:tc>
              <w:tc>
                <w:tcPr>
                  <w:tcW w:w="1351" w:type="dxa"/>
                  <w:tcBorders>
                    <w:top w:val="single" w:color="auto" w:sz="12" w:space="0"/>
                  </w:tcBorders>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190</w:t>
                  </w:r>
                </w:p>
              </w:tc>
              <w:tc>
                <w:tcPr>
                  <w:tcW w:w="1305" w:type="dxa"/>
                  <w:tcBorders>
                    <w:top w:val="single" w:color="auto" w:sz="12" w:space="0"/>
                  </w:tcBorders>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0.004807</w:t>
                  </w:r>
                </w:p>
              </w:tc>
              <w:tc>
                <w:tcPr>
                  <w:tcW w:w="1682" w:type="dxa"/>
                  <w:tcBorders>
                    <w:top w:val="single" w:color="auto" w:sz="12" w:space="0"/>
                  </w:tcBorders>
                  <w:vAlign w:val="center"/>
                </w:tcPr>
                <w:p>
                  <w:pPr>
                    <w:jc w:val="center"/>
                    <w:rPr>
                      <w:rFonts w:ascii="Times New Roman" w:hAnsi="Times New Roman" w:cs="Times New Roman"/>
                    </w:rPr>
                  </w:pPr>
                  <w:r>
                    <w:rPr>
                      <w:rFonts w:ascii="Times New Roman" w:hAnsi="Times New Roman" w:cs="Times New Roman"/>
                    </w:rPr>
                    <w:t>0.004989</w:t>
                  </w:r>
                </w:p>
              </w:tc>
              <w:tc>
                <w:tcPr>
                  <w:tcW w:w="1273" w:type="dxa"/>
                  <w:tcBorders>
                    <w:top w:val="single" w:color="auto" w:sz="12" w:space="0"/>
                  </w:tcBorders>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82" w:type="dxa"/>
                  <w:gridSpan w:val="6"/>
                  <w:vAlign w:val="center"/>
                </w:tcPr>
                <w:p>
                  <w:pPr>
                    <w:rPr>
                      <w:rFonts w:hint="eastAsia" w:ascii="Times New Roman" w:hAnsi="Times New Roman" w:cs="Times New Roman"/>
                      <w:lang w:eastAsia="zh-CN"/>
                    </w:rPr>
                  </w:pPr>
                  <w:r>
                    <w:rPr>
                      <w:rFonts w:ascii="Times New Roman" w:hAnsi="Times New Roman" w:cs="Times New Roman"/>
                    </w:rPr>
                    <w:t>注：VOCs</w:t>
                  </w:r>
                  <w:r>
                    <w:rPr>
                      <w:rFonts w:hint="eastAsia" w:ascii="Times New Roman" w:hAnsi="Times New Roman" w:cs="Times New Roman"/>
                      <w:lang w:eastAsia="zh-CN"/>
                    </w:rPr>
                    <w:t>排放速率为验收实测速率的平均值。</w:t>
                  </w:r>
                </w:p>
                <w:p>
                  <w:pPr>
                    <w:rPr>
                      <w:rFonts w:ascii="Times New Roman" w:hAnsi="Times New Roman" w:cs="Times New Roman"/>
                    </w:rPr>
                  </w:pPr>
                  <w:r>
                    <w:rPr>
                      <w:rFonts w:ascii="Times New Roman" w:hAnsi="Times New Roman" w:cs="Times New Roman"/>
                    </w:rPr>
                    <w:t>根据企业统计，喷漆</w:t>
                  </w:r>
                  <w:r>
                    <w:rPr>
                      <w:rFonts w:hint="eastAsia" w:ascii="Times New Roman" w:hAnsi="Times New Roman" w:cs="Times New Roman"/>
                      <w:lang w:eastAsia="zh-CN"/>
                    </w:rPr>
                    <w:t>车辆较少，喷漆</w:t>
                  </w:r>
                  <w:r>
                    <w:rPr>
                      <w:rFonts w:ascii="Times New Roman" w:hAnsi="Times New Roman" w:cs="Times New Roman"/>
                    </w:rPr>
                    <w:t>房一年工作时间约为</w:t>
                  </w:r>
                  <w:r>
                    <w:rPr>
                      <w:rFonts w:hint="eastAsia" w:ascii="Times New Roman" w:hAnsi="Times New Roman" w:cs="Times New Roman"/>
                      <w:lang w:val="en-US" w:eastAsia="zh-CN"/>
                    </w:rPr>
                    <w:t>190</w:t>
                  </w:r>
                  <w:r>
                    <w:rPr>
                      <w:rFonts w:ascii="Times New Roman" w:hAnsi="Times New Roman" w:cs="Times New Roman"/>
                    </w:rPr>
                    <w:t>h。</w:t>
                  </w:r>
                </w:p>
              </w:tc>
            </w:tr>
          </w:tbl>
          <w:p>
            <w:pPr>
              <w:ind w:firstLine="480" w:firstLineChars="200"/>
              <w:rPr>
                <w:rFonts w:ascii="Times New Roman" w:hAnsi="Times New Roman" w:cs="Times New Roman"/>
                <w:kern w:val="0"/>
                <w:sz w:val="24"/>
                <w:szCs w:val="22"/>
              </w:rPr>
            </w:pPr>
            <w:r>
              <w:rPr>
                <w:rFonts w:ascii="Times New Roman" w:hAnsi="Times New Roman" w:cs="Times New Roman"/>
                <w:kern w:val="0"/>
                <w:sz w:val="24"/>
                <w:szCs w:val="22"/>
              </w:rPr>
              <w:t>结果分析：项目COD排放量为</w:t>
            </w:r>
            <w:r>
              <w:rPr>
                <w:rFonts w:hint="eastAsia" w:ascii="Times New Roman" w:hAnsi="Times New Roman" w:cs="Times New Roman"/>
                <w:kern w:val="0"/>
                <w:sz w:val="24"/>
                <w:szCs w:val="22"/>
              </w:rPr>
              <w:t>0.02241</w:t>
            </w:r>
            <w:r>
              <w:rPr>
                <w:rFonts w:ascii="Times New Roman" w:hAnsi="Times New Roman" w:cs="Times New Roman"/>
                <w:kern w:val="0"/>
                <w:sz w:val="24"/>
                <w:szCs w:val="22"/>
              </w:rPr>
              <w:t>t/a，氨氮排放量为</w:t>
            </w:r>
            <w:r>
              <w:rPr>
                <w:rFonts w:hint="eastAsia" w:ascii="Times New Roman" w:hAnsi="Times New Roman" w:cs="Times New Roman"/>
                <w:kern w:val="0"/>
                <w:sz w:val="24"/>
                <w:szCs w:val="22"/>
              </w:rPr>
              <w:t>0.002241</w:t>
            </w:r>
            <w:r>
              <w:rPr>
                <w:rFonts w:ascii="Times New Roman" w:hAnsi="Times New Roman" w:cs="Times New Roman"/>
                <w:kern w:val="0"/>
                <w:sz w:val="24"/>
                <w:szCs w:val="22"/>
              </w:rPr>
              <w:t>t/a，满足环评总量控制指标要求（COD0.0268t/a、氨氮0.00268/a）。喷漆房废气排气筒VOCs（以非甲烷总烃计）排放量为0.004</w:t>
            </w:r>
            <w:r>
              <w:rPr>
                <w:rFonts w:hint="eastAsia" w:ascii="Times New Roman" w:hAnsi="Times New Roman" w:cs="Times New Roman"/>
                <w:kern w:val="0"/>
                <w:sz w:val="24"/>
                <w:szCs w:val="22"/>
                <w:lang w:val="en-US" w:eastAsia="zh-CN"/>
              </w:rPr>
              <w:t>807</w:t>
            </w:r>
            <w:r>
              <w:rPr>
                <w:rFonts w:ascii="Times New Roman" w:hAnsi="Times New Roman" w:cs="Times New Roman"/>
                <w:kern w:val="0"/>
                <w:sz w:val="24"/>
                <w:szCs w:val="22"/>
              </w:rPr>
              <w:t>t/a，满足环评总量控制指标要求（VOCs：0.004989t/a）。</w:t>
            </w:r>
          </w:p>
          <w:p>
            <w:pPr>
              <w:pStyle w:val="8"/>
              <w:rPr>
                <w:rFonts w:ascii="Times New Roman" w:hAnsi="Times New Roman" w:cs="Times New Roman"/>
                <w:sz w:val="24"/>
              </w:rPr>
            </w:pPr>
          </w:p>
          <w:p>
            <w:pPr>
              <w:pStyle w:val="8"/>
              <w:rPr>
                <w:rFonts w:ascii="Times New Roman" w:hAnsi="Times New Roman" w:cs="Times New Roman"/>
                <w:sz w:val="24"/>
              </w:rPr>
            </w:pPr>
          </w:p>
          <w:p>
            <w:pPr>
              <w:pStyle w:val="8"/>
              <w:rPr>
                <w:rFonts w:ascii="Times New Roman" w:hAnsi="Times New Roman" w:cs="Times New Roman"/>
                <w:sz w:val="24"/>
              </w:rPr>
            </w:pPr>
          </w:p>
          <w:p>
            <w:pPr>
              <w:pStyle w:val="8"/>
              <w:rPr>
                <w:rFonts w:ascii="Times New Roman" w:hAnsi="Times New Roman" w:cs="Times New Roman"/>
                <w:sz w:val="24"/>
              </w:rPr>
            </w:pPr>
          </w:p>
          <w:p>
            <w:pPr>
              <w:pStyle w:val="8"/>
              <w:rPr>
                <w:rFonts w:ascii="Times New Roman" w:hAnsi="Times New Roman" w:cs="Times New Roman"/>
                <w:sz w:val="24"/>
              </w:rPr>
            </w:pPr>
          </w:p>
          <w:p>
            <w:pPr>
              <w:pStyle w:val="8"/>
              <w:rPr>
                <w:rFonts w:ascii="Times New Roman" w:hAnsi="Times New Roman" w:cs="Times New Roman"/>
                <w:sz w:val="24"/>
              </w:rPr>
            </w:pPr>
          </w:p>
          <w:p>
            <w:pPr>
              <w:pStyle w:val="8"/>
              <w:rPr>
                <w:rFonts w:ascii="Times New Roman" w:hAnsi="Times New Roman" w:cs="Times New Roman"/>
                <w:sz w:val="24"/>
              </w:rPr>
            </w:pPr>
          </w:p>
        </w:tc>
      </w:tr>
    </w:tbl>
    <w:p>
      <w:pPr>
        <w:pStyle w:val="2"/>
        <w:rPr>
          <w:rFonts w:hint="default" w:ascii="Times New Roman" w:hAnsi="Times New Roman" w:cs="Times New Roman"/>
        </w:rPr>
        <w:sectPr>
          <w:pgSz w:w="11906" w:h="16838"/>
          <w:pgMar w:top="1440" w:right="1800" w:bottom="1440" w:left="1800" w:header="851" w:footer="992" w:gutter="0"/>
          <w:cols w:space="425" w:num="1"/>
          <w:docGrid w:type="lines" w:linePitch="312" w:charSpace="0"/>
        </w:sectPr>
      </w:pPr>
      <w:bookmarkStart w:id="32" w:name="_Toc30249"/>
    </w:p>
    <w:p>
      <w:pPr>
        <w:ind w:firstLine="2530" w:firstLineChars="900"/>
        <w:outlineLvl w:val="0"/>
        <w:rPr>
          <w:rFonts w:ascii="Times New Roman" w:hAnsi="Times New Roman" w:cs="Times New Roman" w:eastAsiaTheme="majorEastAsia"/>
          <w:b/>
          <w:bCs/>
          <w:sz w:val="28"/>
          <w:szCs w:val="28"/>
        </w:rPr>
      </w:pPr>
      <w:r>
        <w:rPr>
          <w:rFonts w:ascii="Times New Roman" w:hAnsi="Times New Roman" w:cs="Times New Roman" w:eastAsiaTheme="majorEastAsia"/>
          <w:b/>
          <w:bCs/>
          <w:sz w:val="28"/>
          <w:szCs w:val="28"/>
        </w:rPr>
        <w:t>表十 环境管理检查</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2"/>
              <w:tabs>
                <w:tab w:val="left" w:pos="2631"/>
              </w:tabs>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根据验收监测方案，湖北省公信检测服务有限公司于</w:t>
            </w:r>
            <w:r>
              <w:rPr>
                <w:rFonts w:hint="default" w:ascii="Times New Roman" w:hAnsi="Times New Roman" w:cs="Times New Roman" w:eastAsiaTheme="minorEastAsia"/>
                <w:color w:val="000000" w:themeColor="text1"/>
              </w:rPr>
              <w:t>2020年5月17日至5月18</w:t>
            </w:r>
            <w:r>
              <w:rPr>
                <w:rFonts w:hint="default" w:ascii="Times New Roman" w:hAnsi="Times New Roman" w:cs="Times New Roman" w:eastAsiaTheme="minorEastAsia"/>
              </w:rPr>
              <w:t>日对</w:t>
            </w:r>
            <w:r>
              <w:rPr>
                <w:rFonts w:hint="default" w:ascii="Times New Roman" w:hAnsi="Times New Roman" w:cs="Times New Roman"/>
              </w:rPr>
              <w:t>咸宁黄浦丰田汽车销售服务有限公司咸宁一汽丰田4S店项目</w:t>
            </w:r>
            <w:r>
              <w:rPr>
                <w:rFonts w:hint="default" w:ascii="Times New Roman" w:hAnsi="Times New Roman" w:cs="Times New Roman" w:eastAsiaTheme="minorEastAsia"/>
              </w:rPr>
              <w:t>环境管理工作进行检查，结果如下：</w:t>
            </w:r>
          </w:p>
          <w:p>
            <w:pPr>
              <w:pStyle w:val="7"/>
              <w:ind w:firstLine="480" w:firstLineChars="200"/>
              <w:rPr>
                <w:rFonts w:ascii="Times New Roman" w:hAnsi="Times New Roman" w:cs="Times New Roman" w:eastAsiaTheme="minorEastAsia"/>
                <w:color w:val="000000"/>
                <w:sz w:val="24"/>
                <w:szCs w:val="22"/>
              </w:rPr>
            </w:pPr>
            <w:r>
              <w:rPr>
                <w:rFonts w:ascii="Times New Roman" w:hAnsi="Times New Roman" w:cs="Times New Roman"/>
                <w:sz w:val="24"/>
              </w:rPr>
              <w:t>（1）咸宁黄浦丰田汽车销售服务有限公司委托湖北楚天焕鑫环境工程</w:t>
            </w:r>
            <w:r>
              <w:rPr>
                <w:rFonts w:ascii="Times New Roman" w:hAnsi="Times New Roman" w:cs="Times New Roman" w:eastAsiaTheme="minorEastAsia"/>
                <w:color w:val="000000"/>
                <w:sz w:val="24"/>
                <w:szCs w:val="22"/>
              </w:rPr>
              <w:t>有限公司于2019年12月编制完成了《咸宁黄浦丰田汽车销售服务有限公司咸宁一汽丰田4S店项目环境影响报告表》，2020年04月15日收到咸宁市生态环境局咸安区分局的批复文件《关于咸宁黄浦丰田汽车销售服务有限公司咸宁一汽丰田4S店项目环境影响报告表审批意见的函》（咸安环审【2020】13号）。2020年03月，该项目环保设施建设完成处于调试阶段</w:t>
            </w:r>
            <w:r>
              <w:rPr>
                <w:rFonts w:ascii="Times New Roman" w:hAnsi="Times New Roman" w:cs="Times New Roman" w:eastAsiaTheme="minorEastAsia"/>
              </w:rPr>
              <w:t>，</w:t>
            </w:r>
            <w:r>
              <w:rPr>
                <w:rFonts w:ascii="Times New Roman" w:hAnsi="Times New Roman" w:cs="Times New Roman" w:eastAsiaTheme="minorEastAsia"/>
                <w:color w:val="000000"/>
                <w:sz w:val="24"/>
                <w:szCs w:val="22"/>
              </w:rPr>
              <w:t>委托湖北省公信检测服务有限公司承担项目竣工环境保护验收工作。</w:t>
            </w:r>
          </w:p>
          <w:p>
            <w:pPr>
              <w:pStyle w:val="2"/>
              <w:tabs>
                <w:tab w:val="left" w:pos="2631"/>
              </w:tabs>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（2）</w:t>
            </w:r>
            <w:r>
              <w:rPr>
                <w:rFonts w:hint="default" w:ascii="Times New Roman" w:hAnsi="Times New Roman" w:cs="Times New Roman"/>
              </w:rPr>
              <w:t>咸宁黄浦丰田汽车销售服务有限公司</w:t>
            </w:r>
            <w:r>
              <w:rPr>
                <w:rFonts w:hint="default" w:ascii="Times New Roman" w:hAnsi="Times New Roman" w:cs="Times New Roman" w:eastAsiaTheme="minorEastAsia"/>
              </w:rPr>
              <w:t>建立了详细的环境管理机构与制度，成立了相应的环境管理领导小组和机构，建立健全了环境管理制度，在项目建设及运行过程中落实了环评及其批复要求，执行了环保“三同时”制度。</w:t>
            </w:r>
          </w:p>
          <w:p>
            <w:pPr>
              <w:pStyle w:val="2"/>
              <w:tabs>
                <w:tab w:val="left" w:pos="2631"/>
              </w:tabs>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（3）项目按照规范要求建设危废暂存间，产生固体废物按要求分类收集、储存、处置。废活性炭、废过滤棉和废油漆桶存放于1</w:t>
            </w:r>
            <w:r>
              <w:rPr>
                <w:rFonts w:ascii="Times New Roman" w:hAnsi="Times New Roman" w:cs="Times New Roman" w:eastAsiaTheme="minorEastAsia"/>
              </w:rPr>
              <w:t>0</w:t>
            </w:r>
            <w:r>
              <w:rPr>
                <w:rFonts w:hint="default" w:ascii="Times New Roman" w:hAnsi="Times New Roman" w:cs="Times New Roman" w:eastAsiaTheme="minorEastAsia"/>
              </w:rPr>
              <w:t>㎡的危废间，废矿物油存放于8㎡的危废间。</w:t>
            </w:r>
          </w:p>
          <w:p>
            <w:pPr>
              <w:pStyle w:val="2"/>
              <w:spacing w:line="360" w:lineRule="auto"/>
              <w:ind w:left="420" w:leftChars="200"/>
              <w:rPr>
                <w:rFonts w:hint="default" w:ascii="Times New Roman" w:hAnsi="Times New Roman" w:cs="Times New Roman" w:eastAsiaTheme="minorEastAsia"/>
                <w:kern w:val="2"/>
                <w:szCs w:val="24"/>
              </w:rPr>
            </w:pPr>
            <w:r>
              <w:rPr>
                <w:rFonts w:hint="default" w:ascii="Times New Roman" w:hAnsi="Times New Roman" w:cs="Times New Roman" w:eastAsiaTheme="minorEastAsia"/>
              </w:rPr>
              <w:t>（4）项目设有1个废水排污口，1个废气排放口，</w:t>
            </w:r>
            <w:r>
              <w:rPr>
                <w:rFonts w:hint="default" w:ascii="Times New Roman" w:hAnsi="Times New Roman" w:cs="Times New Roman" w:eastAsiaTheme="minorEastAsia"/>
                <w:kern w:val="2"/>
                <w:szCs w:val="24"/>
              </w:rPr>
              <w:t>废气排气筒设置了永久性</w:t>
            </w:r>
          </w:p>
          <w:p>
            <w:pPr>
              <w:pStyle w:val="2"/>
              <w:spacing w:line="360" w:lineRule="auto"/>
              <w:rPr>
                <w:rFonts w:hint="default" w:ascii="Times New Roman" w:hAnsi="Times New Roman" w:cs="Times New Roman" w:eastAsiaTheme="minorEastAsia"/>
              </w:rPr>
            </w:pPr>
            <w:r>
              <w:rPr>
                <w:rFonts w:hint="default" w:ascii="Times New Roman" w:hAnsi="Times New Roman" w:cs="Times New Roman" w:eastAsiaTheme="minorEastAsia"/>
                <w:kern w:val="2"/>
                <w:szCs w:val="24"/>
              </w:rPr>
              <w:t>采样孔，但排污口标志牌尚未建设，未设置规范的采样平台，需进一步完善。</w:t>
            </w:r>
          </w:p>
          <w:p>
            <w:pPr>
              <w:pStyle w:val="2"/>
              <w:tabs>
                <w:tab w:val="left" w:pos="2631"/>
              </w:tabs>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（5）批复落实情况</w:t>
            </w:r>
          </w:p>
          <w:tbl>
            <w:tblPr>
              <w:tblStyle w:val="16"/>
              <w:tblW w:w="81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27"/>
              <w:gridCol w:w="3600"/>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627" w:type="dxa"/>
                  <w:tcBorders>
                    <w:top w:val="single" w:color="auto" w:sz="12" w:space="0"/>
                    <w:bottom w:val="single" w:color="auto" w:sz="12" w:space="0"/>
                    <w:right w:val="single" w:color="auto" w:sz="4" w:space="0"/>
                  </w:tcBorders>
                  <w:vAlign w:val="center"/>
                </w:tcPr>
                <w:p>
                  <w:pPr>
                    <w:widowControl/>
                    <w:adjustRightInd w:val="0"/>
                    <w:snapToGrid w:val="0"/>
                    <w:spacing w:line="240" w:lineRule="auto"/>
                    <w:jc w:val="center"/>
                    <w:rPr>
                      <w:rFonts w:ascii="Times New Roman" w:hAnsi="Times New Roman" w:cs="Times New Roman" w:eastAsiaTheme="minorEastAsia"/>
                      <w:b/>
                      <w:bCs/>
                      <w:szCs w:val="21"/>
                    </w:rPr>
                  </w:pPr>
                  <w:r>
                    <w:rPr>
                      <w:rFonts w:ascii="Times New Roman" w:hAnsi="Times New Roman" w:cs="Times New Roman" w:eastAsiaTheme="minorEastAsia"/>
                      <w:b/>
                      <w:bCs/>
                      <w:szCs w:val="21"/>
                    </w:rPr>
                    <w:t>环评批复要求</w:t>
                  </w:r>
                </w:p>
              </w:tc>
              <w:tc>
                <w:tcPr>
                  <w:tcW w:w="3600" w:type="dxa"/>
                  <w:tcBorders>
                    <w:top w:val="single" w:color="auto" w:sz="12" w:space="0"/>
                    <w:left w:val="single" w:color="auto" w:sz="4" w:space="0"/>
                    <w:bottom w:val="single" w:color="auto" w:sz="12" w:space="0"/>
                    <w:right w:val="single" w:color="auto" w:sz="4" w:space="0"/>
                  </w:tcBorders>
                  <w:vAlign w:val="center"/>
                </w:tcPr>
                <w:p>
                  <w:pPr>
                    <w:widowControl/>
                    <w:adjustRightInd w:val="0"/>
                    <w:snapToGrid w:val="0"/>
                    <w:spacing w:line="240" w:lineRule="auto"/>
                    <w:jc w:val="center"/>
                    <w:rPr>
                      <w:rFonts w:ascii="Times New Roman" w:hAnsi="Times New Roman" w:cs="Times New Roman" w:eastAsiaTheme="minorEastAsia"/>
                      <w:b/>
                      <w:bCs/>
                      <w:szCs w:val="21"/>
                    </w:rPr>
                  </w:pPr>
                  <w:r>
                    <w:rPr>
                      <w:rFonts w:ascii="Times New Roman" w:hAnsi="Times New Roman" w:cs="Times New Roman" w:eastAsiaTheme="minorEastAsia"/>
                      <w:b/>
                      <w:bCs/>
                      <w:szCs w:val="21"/>
                    </w:rPr>
                    <w:t>实际落实情况</w:t>
                  </w:r>
                </w:p>
              </w:tc>
              <w:tc>
                <w:tcPr>
                  <w:tcW w:w="941" w:type="dxa"/>
                  <w:tcBorders>
                    <w:top w:val="single" w:color="auto" w:sz="12" w:space="0"/>
                    <w:left w:val="single" w:color="auto" w:sz="4" w:space="0"/>
                    <w:bottom w:val="single" w:color="auto" w:sz="12" w:space="0"/>
                  </w:tcBorders>
                  <w:vAlign w:val="center"/>
                </w:tcPr>
                <w:p>
                  <w:pPr>
                    <w:widowControl/>
                    <w:adjustRightInd w:val="0"/>
                    <w:snapToGrid w:val="0"/>
                    <w:spacing w:line="240" w:lineRule="auto"/>
                    <w:jc w:val="center"/>
                    <w:rPr>
                      <w:rFonts w:ascii="Times New Roman" w:hAnsi="Times New Roman" w:cs="Times New Roman" w:eastAsiaTheme="minorEastAsia"/>
                      <w:b/>
                      <w:bCs/>
                      <w:szCs w:val="21"/>
                    </w:rPr>
                  </w:pPr>
                  <w:r>
                    <w:rPr>
                      <w:rFonts w:ascii="Times New Roman" w:hAnsi="Times New Roman" w:cs="Times New Roman" w:eastAsiaTheme="minorEastAsia"/>
                      <w:b/>
                      <w:bCs/>
                      <w:szCs w:val="21"/>
                    </w:rPr>
                    <w:t>是否落实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27" w:type="dxa"/>
                  <w:tcBorders>
                    <w:top w:val="single" w:color="auto" w:sz="4" w:space="0"/>
                    <w:bottom w:val="single" w:color="auto" w:sz="4" w:space="0"/>
                    <w:right w:val="single" w:color="auto" w:sz="4" w:space="0"/>
                  </w:tcBorders>
                  <w:vAlign w:val="center"/>
                </w:tcPr>
                <w:p>
                  <w:pPr>
                    <w:spacing w:line="420" w:lineRule="auto"/>
                    <w:rPr>
                      <w:rFonts w:ascii="Times New Roman" w:hAnsi="Times New Roman" w:cs="Times New Roman"/>
                      <w:color w:val="000000"/>
                    </w:rPr>
                  </w:pPr>
                  <w:r>
                    <w:rPr>
                      <w:rFonts w:ascii="Times New Roman" w:hAnsi="Times New Roman" w:cs="Times New Roman"/>
                      <w:szCs w:val="21"/>
                    </w:rPr>
                    <w:t>按“雨污分流、清污分流”的要求规划建设好项目区排水系统，项目项目生活污水经隔油、沉淀池处理的洗车废水一起进入化粪池处理，达到《汽车维修业水污染物排放标准》(GB26877-2011)表2中的间接排放限值要求后和污水处理厂接管标准要求后，通过市政污水管网排入开发区污水处理厂进一步处理达标排放。</w:t>
                  </w:r>
                </w:p>
              </w:tc>
              <w:tc>
                <w:tcPr>
                  <w:tcW w:w="3600" w:type="dxa"/>
                  <w:tcBorders>
                    <w:top w:val="single" w:color="auto" w:sz="4" w:space="0"/>
                    <w:left w:val="single" w:color="auto" w:sz="4" w:space="0"/>
                    <w:bottom w:val="single" w:color="auto" w:sz="4" w:space="0"/>
                    <w:right w:val="single" w:color="auto" w:sz="4" w:space="0"/>
                  </w:tcBorders>
                  <w:vAlign w:val="center"/>
                </w:tcPr>
                <w:p>
                  <w:pPr>
                    <w:pStyle w:val="2"/>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kern w:val="2"/>
                      <w:sz w:val="21"/>
                      <w:szCs w:val="24"/>
                    </w:rPr>
                    <w:t>项目已按“雨污分流、清污分流”的要求规划建设好项目区排水系统，项目洗车废水和车间清洗废水经三级沉淀池处理后与生活污水一起进入化粪池处理后排入市政污水管网，验收监测结果表明，外排污水满足《汽车维修业水污染物排放标准》(GB26877-2011)表2中的间接排放限值要求和咸安经济开发区污水处理厂接管标准要求。</w:t>
                  </w:r>
                </w:p>
              </w:tc>
              <w:tc>
                <w:tcPr>
                  <w:tcW w:w="941" w:type="dxa"/>
                  <w:tcBorders>
                    <w:top w:val="single" w:color="auto" w:sz="4" w:space="0"/>
                    <w:left w:val="single" w:color="auto" w:sz="4" w:space="0"/>
                    <w:bottom w:val="single" w:color="auto" w:sz="4" w:space="0"/>
                  </w:tcBorders>
                  <w:vAlign w:val="center"/>
                </w:tcPr>
                <w:p>
                  <w:pPr>
                    <w:pStyle w:val="2"/>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27" w:type="dxa"/>
                  <w:tcBorders>
                    <w:top w:val="single" w:color="auto" w:sz="4" w:space="0"/>
                    <w:bottom w:val="single" w:color="auto" w:sz="4" w:space="0"/>
                    <w:right w:val="single" w:color="auto" w:sz="4" w:space="0"/>
                  </w:tcBorders>
                  <w:vAlign w:val="center"/>
                </w:tcPr>
                <w:p>
                  <w:pPr>
                    <w:spacing w:line="420" w:lineRule="auto"/>
                    <w:ind w:firstLine="480"/>
                    <w:rPr>
                      <w:rFonts w:ascii="Times New Roman" w:hAnsi="Times New Roman" w:cs="Times New Roman"/>
                      <w:color w:val="000000"/>
                    </w:rPr>
                  </w:pPr>
                  <w:r>
                    <w:rPr>
                      <w:rFonts w:ascii="Times New Roman" w:hAnsi="Times New Roman" w:cs="Times New Roman"/>
                      <w:szCs w:val="21"/>
                    </w:rPr>
                    <w:t>本项目营运期产生的废气主要是喷漆废气。喷漆废气通过过滤棉+活性炭吸附装置处理后通过15m高排气筒高空排放，执行《天津市工业企业挥发性有机物排放控制标准》(DB12524-2014)中汽车制造维修中相关排放限值要求。</w:t>
                  </w:r>
                </w:p>
              </w:tc>
              <w:tc>
                <w:tcPr>
                  <w:tcW w:w="3600"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hint="default" w:ascii="Times New Roman" w:hAnsi="Times New Roman" w:eastAsia="黑体" w:cs="Times New Roman"/>
                      <w:color w:val="FF0000"/>
                      <w:sz w:val="21"/>
                      <w:szCs w:val="21"/>
                    </w:rPr>
                  </w:pPr>
                  <w:r>
                    <w:rPr>
                      <w:rFonts w:hint="default" w:ascii="Times New Roman" w:hAnsi="Times New Roman" w:cs="Times New Roman" w:eastAsiaTheme="minorEastAsia"/>
                      <w:color w:val="000000" w:themeColor="text1"/>
                      <w:sz w:val="21"/>
                      <w:szCs w:val="21"/>
                    </w:rPr>
                    <w:t>本项目营运期产生的废气主要有油漆废气。项目油漆废气经活性炭+过滤棉处理后通过10m高排气筒高空排放，验收结果表明：</w:t>
                  </w:r>
                  <w:r>
                    <w:rPr>
                      <w:rFonts w:hint="default" w:ascii="Times New Roman" w:hAnsi="Times New Roman" w:cs="Times New Roman"/>
                      <w:sz w:val="21"/>
                      <w:szCs w:val="21"/>
                    </w:rPr>
                    <w:t>VOCs（以非甲烷总烃计）</w:t>
                  </w:r>
                  <w:r>
                    <w:rPr>
                      <w:rFonts w:hint="default" w:ascii="Times New Roman" w:hAnsi="Times New Roman" w:cs="Times New Roman" w:eastAsiaTheme="minorEastAsia"/>
                      <w:color w:val="000000" w:themeColor="text1"/>
                      <w:sz w:val="21"/>
                      <w:szCs w:val="21"/>
                    </w:rPr>
                    <w:t>、二甲苯与甲苯排放浓度及速率均满足</w:t>
                  </w:r>
                  <w:r>
                    <w:rPr>
                      <w:rFonts w:hint="default" w:ascii="Times New Roman" w:hAnsi="Times New Roman" w:cs="Times New Roman"/>
                      <w:kern w:val="2"/>
                      <w:sz w:val="21"/>
                      <w:szCs w:val="24"/>
                    </w:rPr>
                    <w:t>《天津市工业企业挥发性有机物排放控制标准》(DB12/524-2014)中汽车制造维修中相关排放限值要求。</w:t>
                  </w:r>
                </w:p>
              </w:tc>
              <w:tc>
                <w:tcPr>
                  <w:tcW w:w="941" w:type="dxa"/>
                  <w:tcBorders>
                    <w:top w:val="single" w:color="auto" w:sz="4" w:space="0"/>
                    <w:left w:val="single" w:color="auto" w:sz="4" w:space="0"/>
                    <w:bottom w:val="single" w:color="auto" w:sz="4" w:space="0"/>
                  </w:tcBorders>
                  <w:vAlign w:val="center"/>
                </w:tcPr>
                <w:p>
                  <w:pPr>
                    <w:pStyle w:val="2"/>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rPr>
                    <w:t>部分落实，排气筒高度为10m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27" w:type="dxa"/>
                  <w:tcBorders>
                    <w:top w:val="single" w:color="auto" w:sz="4" w:space="0"/>
                    <w:bottom w:val="single" w:color="auto" w:sz="4" w:space="0"/>
                    <w:right w:val="single" w:color="auto" w:sz="4" w:space="0"/>
                  </w:tcBorders>
                  <w:vAlign w:val="center"/>
                </w:tcPr>
                <w:p>
                  <w:pPr>
                    <w:spacing w:line="420" w:lineRule="auto"/>
                    <w:ind w:firstLine="480"/>
                    <w:rPr>
                      <w:rFonts w:ascii="Times New Roman" w:hAnsi="Times New Roman" w:cs="Times New Roman"/>
                      <w:szCs w:val="21"/>
                    </w:rPr>
                  </w:pPr>
                  <w:r>
                    <w:rPr>
                      <w:rFonts w:ascii="Times New Roman" w:hAnsi="Times New Roman" w:cs="Times New Roman"/>
                      <w:szCs w:val="21"/>
                    </w:rPr>
                    <w:t>本项目噪声主要来自设备运转产生的噪声。选用低噪声设备、合理布局，高噪声设备采用减振、隔声、消声、距离衰减等降噪措施，确保厂界噪声达到《工业企业厂界环境噪声排放标准》(GB12348-2008)中3类标准。</w:t>
                  </w:r>
                </w:p>
              </w:tc>
              <w:tc>
                <w:tcPr>
                  <w:tcW w:w="3600"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hint="default" w:ascii="Times New Roman" w:hAnsi="Times New Roman" w:cs="Times New Roman"/>
                      <w:color w:val="FF0000"/>
                      <w:sz w:val="21"/>
                      <w:szCs w:val="21"/>
                    </w:rPr>
                  </w:pPr>
                  <w:r>
                    <w:rPr>
                      <w:rFonts w:hint="default" w:ascii="Times New Roman" w:hAnsi="Times New Roman" w:cs="Times New Roman"/>
                      <w:color w:val="000000" w:themeColor="text1"/>
                      <w:sz w:val="21"/>
                      <w:szCs w:val="21"/>
                    </w:rPr>
                    <w:t>本项目主要噪声为生产车间设备产生的噪声。通过选用低噪声设备，合理布局等措施降噪，验收结果表明：厂界噪声达到《工业企业厂界环境噪声排放标准》（GB12348-2008）中的4类和3类标准。</w:t>
                  </w:r>
                </w:p>
              </w:tc>
              <w:tc>
                <w:tcPr>
                  <w:tcW w:w="941" w:type="dxa"/>
                  <w:tcBorders>
                    <w:top w:val="single" w:color="auto" w:sz="4" w:space="0"/>
                    <w:left w:val="single" w:color="auto" w:sz="4" w:space="0"/>
                    <w:bottom w:val="single" w:color="auto" w:sz="4" w:space="0"/>
                  </w:tcBorders>
                  <w:vAlign w:val="center"/>
                </w:tcPr>
                <w:p>
                  <w:pPr>
                    <w:pStyle w:val="2"/>
                    <w:spacing w:line="36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27" w:type="dxa"/>
                  <w:tcBorders>
                    <w:top w:val="single" w:color="auto" w:sz="4" w:space="0"/>
                    <w:bottom w:val="single" w:color="auto" w:sz="12" w:space="0"/>
                    <w:right w:val="single" w:color="auto" w:sz="4" w:space="0"/>
                  </w:tcBorders>
                  <w:vAlign w:val="center"/>
                </w:tcPr>
                <w:p>
                  <w:pPr>
                    <w:spacing w:line="420" w:lineRule="auto"/>
                    <w:rPr>
                      <w:rFonts w:ascii="Times New Roman" w:hAnsi="Times New Roman" w:cs="Times New Roman" w:eastAsiaTheme="minorEastAsia"/>
                      <w:szCs w:val="21"/>
                    </w:rPr>
                  </w:pPr>
                  <w:r>
                    <w:rPr>
                      <w:rFonts w:ascii="Times New Roman" w:hAnsi="Times New Roman" w:cs="Times New Roman"/>
                      <w:color w:val="000000"/>
                    </w:rPr>
                    <w:t>按“减量化、资源化、无害化”原则，落实各类固体废物的收集、处置和综合利用措施，实现零排放，生活垃圾交由环卫部门统一清运处理；一般工业固废(废旧零配件)外售回收综合利用；废矿物油、废活性炭、废过滤棉等危险废物按规范要求管理，统一收集后委托有危废处置资质的单位安全处置。</w:t>
                  </w:r>
                </w:p>
              </w:tc>
              <w:tc>
                <w:tcPr>
                  <w:tcW w:w="3600" w:type="dxa"/>
                  <w:tcBorders>
                    <w:top w:val="single" w:color="auto" w:sz="4" w:space="0"/>
                    <w:left w:val="single" w:color="auto" w:sz="4" w:space="0"/>
                    <w:bottom w:val="single" w:color="auto" w:sz="12" w:space="0"/>
                    <w:right w:val="single" w:color="auto" w:sz="4" w:space="0"/>
                  </w:tcBorders>
                  <w:vAlign w:val="center"/>
                </w:tcPr>
                <w:p>
                  <w:pPr>
                    <w:spacing w:line="420" w:lineRule="auto"/>
                    <w:rPr>
                      <w:rFonts w:ascii="Times New Roman" w:hAnsi="Times New Roman" w:cs="Times New Roman"/>
                      <w:color w:val="FF0000"/>
                      <w:szCs w:val="21"/>
                    </w:rPr>
                  </w:pPr>
                  <w:r>
                    <w:rPr>
                      <w:rFonts w:ascii="Times New Roman" w:hAnsi="Times New Roman" w:cs="Times New Roman"/>
                      <w:color w:val="000000"/>
                    </w:rPr>
                    <w:t>本项目固体废物主要为汽车修理过程中产生的各种固体废物，包括一般固废和危险固废，以及职工生活垃圾。一般固废主要是汽车维修过程中产生的废旧零部件，废旧零部件外售于废品回收公司；危险固废主要包括废矿物油、废活性炭、废过滤棉、废油漆桶。废矿物油委托咸宁海川环保科技有限公司进行回收处理；活性炭、过滤棉每半年更换一次，更换的废活性炭和废过滤棉与废油漆桶、废机油桶、废机油滤芯暂存于危废暂存间，后期拟委托有危废处理资质的单位处理；生活垃圾、含油抹布委托环卫部门统一清运处理。</w:t>
                  </w:r>
                </w:p>
              </w:tc>
              <w:tc>
                <w:tcPr>
                  <w:tcW w:w="941" w:type="dxa"/>
                  <w:tcBorders>
                    <w:top w:val="single" w:color="auto" w:sz="4" w:space="0"/>
                    <w:left w:val="single" w:color="auto" w:sz="4" w:space="0"/>
                    <w:bottom w:val="single" w:color="auto" w:sz="12" w:space="0"/>
                  </w:tcBorders>
                  <w:vAlign w:val="center"/>
                </w:tcPr>
                <w:p>
                  <w:pPr>
                    <w:pStyle w:val="7"/>
                    <w:rPr>
                      <w:rFonts w:ascii="Times New Roman" w:hAnsi="Times New Roman" w:cs="Times New Roman"/>
                    </w:rPr>
                  </w:pPr>
                  <w:r>
                    <w:rPr>
                      <w:rFonts w:ascii="Times New Roman" w:hAnsi="Times New Roman" w:cs="Times New Roman" w:eastAsiaTheme="minorEastAsia"/>
                      <w:color w:val="000000" w:themeColor="text1"/>
                      <w:szCs w:val="21"/>
                    </w:rPr>
                    <w:t>部分落实，</w:t>
                  </w:r>
                  <w:r>
                    <w:rPr>
                      <w:rFonts w:hint="eastAsia" w:ascii="Times New Roman" w:hAnsi="Times New Roman" w:cs="Times New Roman" w:eastAsiaTheme="minorEastAsia"/>
                      <w:color w:val="000000" w:themeColor="text1"/>
                      <w:szCs w:val="21"/>
                      <w:lang w:eastAsia="zh-CN"/>
                    </w:rPr>
                    <w:t>部分危废</w:t>
                  </w:r>
                  <w:r>
                    <w:rPr>
                      <w:rFonts w:ascii="Times New Roman" w:hAnsi="Times New Roman" w:cs="Times New Roman"/>
                    </w:rPr>
                    <w:t>尚未与有资质单位签订危废协议</w:t>
                  </w:r>
                  <w:r>
                    <w:rPr>
                      <w:rFonts w:hint="eastAsia" w:ascii="Times New Roman" w:hAnsi="Times New Roman" w:cs="Times New Roman"/>
                    </w:rPr>
                    <w:t>。</w:t>
                  </w:r>
                </w:p>
                <w:p>
                  <w:pPr>
                    <w:pStyle w:val="2"/>
                    <w:tabs>
                      <w:tab w:val="left" w:pos="2631"/>
                      <w:tab w:val="left" w:pos="5747"/>
                    </w:tabs>
                    <w:spacing w:line="360" w:lineRule="auto"/>
                    <w:jc w:val="center"/>
                    <w:rPr>
                      <w:rFonts w:hint="default" w:ascii="Times New Roman" w:hAnsi="Times New Roman" w:cs="Times New Roman"/>
                      <w:sz w:val="21"/>
                      <w:szCs w:val="21"/>
                    </w:rPr>
                  </w:pPr>
                </w:p>
              </w:tc>
            </w:tr>
          </w:tbl>
          <w:p>
            <w:pPr>
              <w:pStyle w:val="2"/>
              <w:rPr>
                <w:rFonts w:hint="default"/>
              </w:rPr>
            </w:pPr>
          </w:p>
        </w:tc>
      </w:tr>
    </w:tbl>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rPr>
          <w:rFonts w:ascii="Times New Roman" w:hAnsi="Times New Roman" w:cs="Times New Roman" w:eastAsiaTheme="majorEastAsia"/>
          <w:b/>
          <w:bCs/>
          <w:sz w:val="28"/>
          <w:szCs w:val="28"/>
        </w:rPr>
      </w:pPr>
    </w:p>
    <w:p>
      <w:pPr>
        <w:ind w:firstLine="2249" w:firstLineChars="800"/>
        <w:outlineLvl w:val="0"/>
        <w:rPr>
          <w:rFonts w:ascii="Times New Roman" w:hAnsi="Times New Roman" w:cs="Times New Roman"/>
          <w:color w:val="000000"/>
          <w:kern w:val="0"/>
          <w:sz w:val="24"/>
          <w:szCs w:val="22"/>
        </w:rPr>
      </w:pPr>
      <w:r>
        <w:rPr>
          <w:rFonts w:ascii="Times New Roman" w:hAnsi="Times New Roman" w:cs="Times New Roman" w:eastAsiaTheme="majorEastAsia"/>
          <w:b/>
          <w:bCs/>
          <w:sz w:val="28"/>
          <w:szCs w:val="28"/>
        </w:rPr>
        <w:t>表十一 验收监测结论及建议</w:t>
      </w:r>
    </w:p>
    <w:tbl>
      <w:tblPr>
        <w:tblStyle w:val="17"/>
        <w:tblpPr w:leftFromText="180" w:rightFromText="180" w:vertAnchor="text"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0" w:hRule="atLeast"/>
        </w:trPr>
        <w:tc>
          <w:tcPr>
            <w:tcW w:w="8522" w:type="dxa"/>
          </w:tcPr>
          <w:p>
            <w:pPr>
              <w:pStyle w:val="2"/>
              <w:tabs>
                <w:tab w:val="left" w:pos="2631"/>
                <w:tab w:val="left" w:pos="5747"/>
              </w:tabs>
              <w:spacing w:line="360" w:lineRule="auto"/>
              <w:jc w:val="both"/>
              <w:rPr>
                <w:rFonts w:hint="default" w:ascii="Times New Roman" w:hAnsi="Times New Roman" w:cs="Times New Roman"/>
                <w:b/>
                <w:bCs/>
              </w:rPr>
            </w:pPr>
            <w:r>
              <w:rPr>
                <w:rFonts w:hint="default" w:ascii="Times New Roman" w:hAnsi="Times New Roman" w:cs="Times New Roman"/>
                <w:b/>
                <w:bCs/>
              </w:rPr>
              <w:t>11.1、验收监测结论</w:t>
            </w:r>
          </w:p>
          <w:p>
            <w:pPr>
              <w:pStyle w:val="2"/>
              <w:tabs>
                <w:tab w:val="left" w:pos="2631"/>
                <w:tab w:val="left" w:pos="5747"/>
              </w:tabs>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（1）验收工况：</w:t>
            </w:r>
            <w:r>
              <w:rPr>
                <w:rFonts w:hint="default" w:ascii="Times New Roman" w:hAnsi="Times New Roman" w:cs="Times New Roman" w:eastAsiaTheme="minorEastAsia"/>
              </w:rPr>
              <w:t>验收监测期间，企业各生产线生产正常，设备正常运转，符合《</w:t>
            </w:r>
            <w:r>
              <w:rPr>
                <w:rFonts w:hint="default" w:ascii="Times New Roman" w:hAnsi="Times New Roman" w:cs="Times New Roman"/>
              </w:rPr>
              <w:t>关于发布&lt;建设项目竣工环境保护验收技术指南 污染影响类&gt;的公告</w:t>
            </w:r>
            <w:r>
              <w:rPr>
                <w:rFonts w:hint="default" w:ascii="Times New Roman" w:hAnsi="Times New Roman" w:cs="Times New Roman" w:eastAsiaTheme="minorEastAsia"/>
              </w:rPr>
              <w:t>》</w:t>
            </w:r>
            <w:r>
              <w:rPr>
                <w:rFonts w:hint="default" w:ascii="Times New Roman" w:hAnsi="Times New Roman" w:cs="Times New Roman"/>
              </w:rPr>
              <w:t>（公告2018年第9号文 生态环境部）文件中</w:t>
            </w:r>
            <w:r>
              <w:rPr>
                <w:rFonts w:hint="default" w:ascii="Times New Roman" w:hAnsi="Times New Roman" w:cs="Times New Roman" w:eastAsiaTheme="minorEastAsia"/>
              </w:rPr>
              <w:t>“验收监测在确保主体工程工况稳定、环境保护设施运行正常的情况下进行”竣工验收监测规范要求。</w:t>
            </w:r>
          </w:p>
          <w:p>
            <w:pPr>
              <w:pStyle w:val="2"/>
              <w:tabs>
                <w:tab w:val="left" w:pos="2631"/>
                <w:tab w:val="left" w:pos="5747"/>
              </w:tabs>
              <w:spacing w:line="360" w:lineRule="auto"/>
              <w:ind w:left="420" w:leftChars="200"/>
              <w:jc w:val="both"/>
              <w:rPr>
                <w:rFonts w:hint="default" w:ascii="Times New Roman" w:hAnsi="Times New Roman" w:cs="Times New Roman"/>
              </w:rPr>
            </w:pPr>
            <w:r>
              <w:rPr>
                <w:rFonts w:hint="default" w:ascii="Times New Roman" w:hAnsi="Times New Roman" w:cs="Times New Roman"/>
              </w:rPr>
              <w:t>（2）废水监测结论：</w:t>
            </w:r>
          </w:p>
          <w:p>
            <w:pPr>
              <w:ind w:firstLine="480" w:firstLineChars="200"/>
              <w:rPr>
                <w:rFonts w:ascii="Times New Roman" w:hAnsi="Times New Roman" w:cs="Times New Roman"/>
                <w:color w:val="000000"/>
                <w:kern w:val="0"/>
                <w:sz w:val="24"/>
                <w:szCs w:val="22"/>
              </w:rPr>
            </w:pPr>
            <w:r>
              <w:rPr>
                <w:rFonts w:ascii="Times New Roman" w:hAnsi="Times New Roman" w:cs="Times New Roman"/>
                <w:color w:val="000000"/>
                <w:kern w:val="0"/>
                <w:sz w:val="24"/>
                <w:szCs w:val="22"/>
              </w:rPr>
              <w:t>验收监测期间：综合废水总排口的pH值范围在7.85~7.94之间，COD</w:t>
            </w:r>
            <w:r>
              <w:rPr>
                <w:rFonts w:ascii="Times New Roman" w:hAnsi="Times New Roman" w:cs="Times New Roman"/>
                <w:color w:val="000000"/>
                <w:kern w:val="0"/>
                <w:sz w:val="24"/>
                <w:szCs w:val="22"/>
                <w:vertAlign w:val="subscript"/>
              </w:rPr>
              <w:t>Cr</w:t>
            </w:r>
            <w:r>
              <w:rPr>
                <w:rFonts w:ascii="Times New Roman" w:hAnsi="Times New Roman" w:cs="Times New Roman"/>
                <w:color w:val="000000"/>
                <w:kern w:val="0"/>
                <w:sz w:val="24"/>
                <w:szCs w:val="22"/>
              </w:rPr>
              <w:t>、BOD</w:t>
            </w:r>
            <w:r>
              <w:rPr>
                <w:rFonts w:ascii="Times New Roman" w:hAnsi="Times New Roman" w:cs="Times New Roman"/>
                <w:color w:val="000000"/>
                <w:kern w:val="0"/>
                <w:sz w:val="24"/>
                <w:szCs w:val="22"/>
                <w:vertAlign w:val="subscript"/>
              </w:rPr>
              <w:t>5</w:t>
            </w:r>
            <w:r>
              <w:rPr>
                <w:rFonts w:ascii="Times New Roman" w:hAnsi="Times New Roman" w:cs="Times New Roman"/>
                <w:color w:val="000000"/>
                <w:kern w:val="0"/>
                <w:sz w:val="24"/>
                <w:szCs w:val="22"/>
              </w:rPr>
              <w:t>、悬浮物、动植物油、氨氮、石油类、总磷</w:t>
            </w:r>
            <w:r>
              <w:rPr>
                <w:rFonts w:ascii="Times New Roman" w:hAnsi="Times New Roman" w:cs="Times New Roman" w:eastAsiaTheme="minorEastAsia"/>
                <w:sz w:val="24"/>
              </w:rPr>
              <w:t>排放浓度</w:t>
            </w:r>
            <w:r>
              <w:rPr>
                <w:rFonts w:ascii="Times New Roman" w:hAnsi="Times New Roman" w:cs="Times New Roman"/>
                <w:color w:val="000000"/>
                <w:kern w:val="0"/>
                <w:sz w:val="24"/>
                <w:szCs w:val="22"/>
              </w:rPr>
              <w:t>日均值最大值分别为5</w:t>
            </w:r>
            <w:r>
              <w:rPr>
                <w:rFonts w:hint="eastAsia" w:ascii="Times New Roman" w:hAnsi="Times New Roman" w:cs="Times New Roman"/>
                <w:color w:val="000000"/>
                <w:kern w:val="0"/>
                <w:sz w:val="24"/>
                <w:szCs w:val="22"/>
                <w:lang w:val="en-US" w:eastAsia="zh-CN"/>
              </w:rPr>
              <w:t>4</w:t>
            </w:r>
            <w:r>
              <w:rPr>
                <w:rFonts w:ascii="Times New Roman" w:hAnsi="Times New Roman" w:cs="Times New Roman"/>
                <w:color w:val="000000"/>
                <w:kern w:val="0"/>
                <w:sz w:val="24"/>
                <w:szCs w:val="22"/>
              </w:rPr>
              <w:t>mg/L、</w:t>
            </w:r>
            <w:r>
              <w:rPr>
                <w:rFonts w:hint="eastAsia" w:ascii="Times New Roman" w:hAnsi="Times New Roman" w:cs="Times New Roman"/>
                <w:color w:val="000000"/>
                <w:kern w:val="0"/>
                <w:sz w:val="24"/>
                <w:szCs w:val="22"/>
                <w:lang w:val="en-US" w:eastAsia="zh-CN"/>
              </w:rPr>
              <w:t>16.4</w:t>
            </w:r>
            <w:r>
              <w:rPr>
                <w:rFonts w:ascii="Times New Roman" w:hAnsi="Times New Roman" w:cs="Times New Roman"/>
                <w:color w:val="000000"/>
                <w:kern w:val="0"/>
                <w:sz w:val="24"/>
                <w:szCs w:val="22"/>
              </w:rPr>
              <w:t>mg/L、4</w:t>
            </w:r>
            <w:r>
              <w:rPr>
                <w:rFonts w:hint="eastAsia" w:ascii="Times New Roman" w:hAnsi="Times New Roman" w:cs="Times New Roman"/>
                <w:color w:val="000000"/>
                <w:kern w:val="0"/>
                <w:sz w:val="24"/>
                <w:szCs w:val="22"/>
                <w:lang w:val="en-US" w:eastAsia="zh-CN"/>
              </w:rPr>
              <w:t>1</w:t>
            </w:r>
            <w:r>
              <w:rPr>
                <w:rFonts w:ascii="Times New Roman" w:hAnsi="Times New Roman" w:cs="Times New Roman"/>
                <w:color w:val="000000"/>
                <w:kern w:val="0"/>
                <w:sz w:val="24"/>
                <w:szCs w:val="22"/>
              </w:rPr>
              <w:t>mg/L、0.1</w:t>
            </w:r>
            <w:r>
              <w:rPr>
                <w:rFonts w:hint="eastAsia" w:ascii="Times New Roman" w:hAnsi="Times New Roman" w:cs="Times New Roman"/>
                <w:color w:val="000000"/>
                <w:kern w:val="0"/>
                <w:sz w:val="24"/>
                <w:szCs w:val="22"/>
                <w:lang w:val="en-US" w:eastAsia="zh-CN"/>
              </w:rPr>
              <w:t>4</w:t>
            </w:r>
            <w:r>
              <w:rPr>
                <w:rFonts w:ascii="Times New Roman" w:hAnsi="Times New Roman" w:cs="Times New Roman"/>
                <w:color w:val="000000"/>
                <w:kern w:val="0"/>
                <w:sz w:val="24"/>
                <w:szCs w:val="22"/>
              </w:rPr>
              <w:t>mg/L、0.</w:t>
            </w:r>
            <w:r>
              <w:rPr>
                <w:rFonts w:hint="eastAsia" w:ascii="Times New Roman" w:hAnsi="Times New Roman" w:cs="Times New Roman"/>
                <w:color w:val="000000"/>
                <w:kern w:val="0"/>
                <w:sz w:val="24"/>
                <w:szCs w:val="22"/>
                <w:lang w:val="en-US" w:eastAsia="zh-CN"/>
              </w:rPr>
              <w:t>899</w:t>
            </w:r>
            <w:r>
              <w:rPr>
                <w:rFonts w:ascii="Times New Roman" w:hAnsi="Times New Roman" w:cs="Times New Roman"/>
                <w:color w:val="000000"/>
                <w:kern w:val="0"/>
                <w:sz w:val="24"/>
                <w:szCs w:val="22"/>
              </w:rPr>
              <w:t>mg/L、0.</w:t>
            </w:r>
            <w:r>
              <w:rPr>
                <w:rFonts w:hint="eastAsia" w:ascii="Times New Roman" w:hAnsi="Times New Roman" w:cs="Times New Roman"/>
                <w:color w:val="000000"/>
                <w:kern w:val="0"/>
                <w:sz w:val="24"/>
                <w:szCs w:val="22"/>
                <w:lang w:val="en-US" w:eastAsia="zh-CN"/>
              </w:rPr>
              <w:t>08</w:t>
            </w:r>
            <w:r>
              <w:rPr>
                <w:rFonts w:ascii="Times New Roman" w:hAnsi="Times New Roman" w:cs="Times New Roman"/>
                <w:color w:val="000000"/>
                <w:kern w:val="0"/>
                <w:sz w:val="24"/>
                <w:szCs w:val="22"/>
              </w:rPr>
              <w:t>mg/L、0.</w:t>
            </w:r>
            <w:r>
              <w:rPr>
                <w:rFonts w:hint="eastAsia" w:ascii="Times New Roman" w:hAnsi="Times New Roman" w:cs="Times New Roman"/>
                <w:color w:val="000000"/>
                <w:kern w:val="0"/>
                <w:sz w:val="24"/>
                <w:szCs w:val="22"/>
                <w:lang w:val="en-US" w:eastAsia="zh-CN"/>
              </w:rPr>
              <w:t>234</w:t>
            </w:r>
            <w:r>
              <w:rPr>
                <w:rFonts w:ascii="Times New Roman" w:hAnsi="Times New Roman" w:cs="Times New Roman"/>
                <w:color w:val="000000"/>
                <w:kern w:val="0"/>
                <w:sz w:val="24"/>
                <w:szCs w:val="22"/>
              </w:rPr>
              <w:t>mg/L。pH值、COD</w:t>
            </w:r>
            <w:r>
              <w:rPr>
                <w:rFonts w:ascii="Times New Roman" w:hAnsi="Times New Roman" w:cs="Times New Roman"/>
                <w:color w:val="000000"/>
                <w:kern w:val="0"/>
                <w:sz w:val="24"/>
                <w:szCs w:val="22"/>
                <w:vertAlign w:val="subscript"/>
              </w:rPr>
              <w:t>Cr</w:t>
            </w:r>
            <w:r>
              <w:rPr>
                <w:rFonts w:ascii="Times New Roman" w:hAnsi="Times New Roman" w:cs="Times New Roman"/>
                <w:color w:val="000000"/>
                <w:kern w:val="0"/>
                <w:sz w:val="24"/>
                <w:szCs w:val="22"/>
              </w:rPr>
              <w:t>、BOD</w:t>
            </w:r>
            <w:r>
              <w:rPr>
                <w:rFonts w:ascii="Times New Roman" w:hAnsi="Times New Roman" w:cs="Times New Roman"/>
                <w:color w:val="000000"/>
                <w:kern w:val="0"/>
                <w:sz w:val="24"/>
                <w:szCs w:val="22"/>
                <w:vertAlign w:val="subscript"/>
              </w:rPr>
              <w:t>5</w:t>
            </w:r>
            <w:r>
              <w:rPr>
                <w:rFonts w:ascii="Times New Roman" w:hAnsi="Times New Roman" w:cs="Times New Roman"/>
                <w:color w:val="000000"/>
                <w:kern w:val="0"/>
                <w:sz w:val="24"/>
                <w:szCs w:val="22"/>
              </w:rPr>
              <w:t>、悬浮物、氨氮、动植物油、总磷监测结果既符合《汽车维修业水污染物排放标准》（GB26877-2011）表2中的间接排放限值标准要求也满足咸安经济开发区污水处理厂接管标准要求；石油类监测结果符合《汽车维修业水污染物排放标准》（GB26877-2011）表2中的间接排放限值标准要求。</w:t>
            </w:r>
          </w:p>
          <w:p>
            <w:pPr>
              <w:pStyle w:val="2"/>
              <w:tabs>
                <w:tab w:val="left" w:pos="2631"/>
                <w:tab w:val="left" w:pos="5747"/>
              </w:tabs>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（3）废气监测结论：</w:t>
            </w:r>
          </w:p>
          <w:p>
            <w:pPr>
              <w:pStyle w:val="2"/>
              <w:tabs>
                <w:tab w:val="left" w:pos="2631"/>
              </w:tabs>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有组织废气：验收监测期间：喷漆房废气处理设施排放口VOCs（以非甲烷总烃计）、甲苯与二甲苯合计排放浓度最大值分别为2.14mg/m</w:t>
            </w:r>
            <w:r>
              <w:rPr>
                <w:rFonts w:hint="default" w:ascii="Times New Roman" w:hAnsi="Times New Roman" w:cs="Times New Roman"/>
                <w:vertAlign w:val="superscript"/>
              </w:rPr>
              <w:t>3</w:t>
            </w:r>
            <w:r>
              <w:rPr>
                <w:rFonts w:hint="default" w:ascii="Times New Roman" w:hAnsi="Times New Roman" w:cs="Times New Roman"/>
              </w:rPr>
              <w:t>、0.130mg/m</w:t>
            </w:r>
            <w:r>
              <w:rPr>
                <w:rFonts w:hint="default" w:ascii="Times New Roman" w:hAnsi="Times New Roman" w:cs="Times New Roman"/>
                <w:vertAlign w:val="superscript"/>
              </w:rPr>
              <w:t>3</w:t>
            </w:r>
            <w:r>
              <w:rPr>
                <w:rFonts w:hint="default" w:ascii="Times New Roman" w:hAnsi="Times New Roman" w:cs="Times New Roman"/>
              </w:rPr>
              <w:t>、2.8mg/m</w:t>
            </w:r>
            <w:r>
              <w:rPr>
                <w:rFonts w:hint="default" w:ascii="Times New Roman" w:hAnsi="Times New Roman" w:cs="Times New Roman"/>
                <w:vertAlign w:val="superscript"/>
              </w:rPr>
              <w:t>3</w:t>
            </w:r>
            <w:r>
              <w:rPr>
                <w:rFonts w:hint="default" w:ascii="Times New Roman" w:hAnsi="Times New Roman" w:cs="Times New Roman"/>
              </w:rPr>
              <w:t>；排放速率的最大值分别为0.0302kg/h、0.0019kg/h。监测结果均符合《天津市工业企业挥发性有机物排放控制标准》（DB12/524-2014）表2“汽车制造与维修行业”中标准限值要求；颗粒物排放浓度最大值为2.8mg/m</w:t>
            </w:r>
            <w:r>
              <w:rPr>
                <w:rFonts w:hint="default" w:ascii="Times New Roman" w:hAnsi="Times New Roman" w:cs="Times New Roman"/>
                <w:vertAlign w:val="superscript"/>
              </w:rPr>
              <w:t>3</w:t>
            </w:r>
            <w:r>
              <w:rPr>
                <w:rFonts w:hint="default" w:ascii="Times New Roman" w:hAnsi="Times New Roman" w:cs="Times New Roman"/>
              </w:rPr>
              <w:t>，排放速率最大值为0.0405kg/h，监测结果均符合《大气污染物综合排放标准》（GB16297-1996）表2中二级限值要求。</w:t>
            </w:r>
          </w:p>
          <w:p>
            <w:pPr>
              <w:pStyle w:val="2"/>
              <w:tabs>
                <w:tab w:val="left" w:pos="2631"/>
              </w:tabs>
              <w:spacing w:line="360" w:lineRule="auto"/>
              <w:ind w:firstLine="720" w:firstLineChars="300"/>
              <w:jc w:val="both"/>
              <w:rPr>
                <w:rFonts w:hint="default" w:ascii="Times New Roman" w:hAnsi="Times New Roman" w:cs="Times New Roman"/>
              </w:rPr>
            </w:pPr>
            <w:r>
              <w:rPr>
                <w:rFonts w:hint="default" w:ascii="Times New Roman" w:hAnsi="Times New Roman" w:cs="Times New Roman"/>
              </w:rPr>
              <w:t>无组织废气：验收监测期间：厂界无组织监控点颗粒物排放浓度值最大值为0.217mg/m</w:t>
            </w:r>
            <w:r>
              <w:rPr>
                <w:rFonts w:hint="default" w:ascii="Times New Roman" w:hAnsi="Times New Roman" w:cs="Times New Roman"/>
                <w:vertAlign w:val="superscript"/>
              </w:rPr>
              <w:t>3</w:t>
            </w:r>
            <w:r>
              <w:rPr>
                <w:rFonts w:hint="default" w:ascii="Times New Roman" w:hAnsi="Times New Roman" w:cs="Times New Roman"/>
              </w:rPr>
              <w:t>，VOCs（以非甲烷总烃计）排放浓度最大值为1.42mg/m</w:t>
            </w:r>
            <w:r>
              <w:rPr>
                <w:rFonts w:hint="default" w:ascii="Times New Roman" w:hAnsi="Times New Roman" w:cs="Times New Roman"/>
                <w:vertAlign w:val="superscript"/>
              </w:rPr>
              <w:t>3</w:t>
            </w:r>
            <w:r>
              <w:rPr>
                <w:rFonts w:hint="default" w:ascii="Times New Roman" w:hAnsi="Times New Roman" w:cs="Times New Roman"/>
              </w:rPr>
              <w:t>，甲苯排放浓度最大值为0.0232mg/m</w:t>
            </w:r>
            <w:r>
              <w:rPr>
                <w:rFonts w:hint="default" w:ascii="Times New Roman" w:hAnsi="Times New Roman" w:cs="Times New Roman"/>
                <w:vertAlign w:val="superscript"/>
              </w:rPr>
              <w:t>3</w:t>
            </w:r>
            <w:r>
              <w:rPr>
                <w:rFonts w:hint="default" w:ascii="Times New Roman" w:hAnsi="Times New Roman" w:cs="Times New Roman"/>
              </w:rPr>
              <w:t>，二甲苯未检出，颗粒物监测结果符合《大气污染物综合排放标准》（GB 16297-1996）表2无组织排放监控浓度限值要求；VOCs（以非甲烷总烃计）、二甲苯、甲苯监测结果均符合《天津市工业企业挥发性有机物排放控制标准》（DB12/524-2014）表5无组织监控浓度要求。</w:t>
            </w:r>
          </w:p>
          <w:p>
            <w:pPr>
              <w:pStyle w:val="2"/>
              <w:tabs>
                <w:tab w:val="left" w:pos="2631"/>
              </w:tabs>
              <w:spacing w:line="360" w:lineRule="auto"/>
              <w:ind w:firstLine="720" w:firstLineChars="300"/>
              <w:jc w:val="both"/>
              <w:rPr>
                <w:rFonts w:hint="default" w:ascii="Times New Roman" w:hAnsi="Times New Roman" w:cs="Times New Roman"/>
              </w:rPr>
            </w:pPr>
            <w:r>
              <w:rPr>
                <w:rFonts w:hint="default" w:ascii="Times New Roman" w:hAnsi="Times New Roman" w:cs="Times New Roman"/>
              </w:rPr>
              <w:t>无组织废气：验收监测期间：喷漆车间外无组织监控点VOCs（以非甲烷总烃计）排放浓度值最大值为；VOCs（以非甲烷总烃计）监测结果均符合《挥发性有机物无组织排放控制标准》（GB37822-2019）中附录A中无组织无组织排放监控浓度要求。</w:t>
            </w:r>
          </w:p>
          <w:p>
            <w:pPr>
              <w:pStyle w:val="2"/>
              <w:tabs>
                <w:tab w:val="left" w:pos="2631"/>
              </w:tabs>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（4）噪声监测结论</w:t>
            </w:r>
          </w:p>
          <w:p>
            <w:pPr>
              <w:spacing w:line="480" w:lineRule="exact"/>
              <w:ind w:firstLine="480" w:firstLineChars="200"/>
              <w:rPr>
                <w:rFonts w:ascii="Times New Roman" w:hAnsi="Times New Roman" w:cs="Times New Roman"/>
                <w:color w:val="000000"/>
                <w:kern w:val="0"/>
                <w:sz w:val="24"/>
                <w:szCs w:val="22"/>
              </w:rPr>
            </w:pPr>
            <w:r>
              <w:rPr>
                <w:rFonts w:ascii="Times New Roman" w:hAnsi="Times New Roman" w:cs="Times New Roman"/>
                <w:color w:val="000000"/>
                <w:kern w:val="0"/>
                <w:sz w:val="24"/>
                <w:szCs w:val="22"/>
              </w:rPr>
              <w:t>验收监测期间：项目厂界▲1、▲2、▲4点位昼间噪声测量最大值为57.8dB(A)，夜间噪声测量最大值为47.0dB(A)，监测结果符合《工业企业厂界环境噪声排放标准》（GB12348-2008）</w:t>
            </w:r>
            <w:r>
              <w:rPr>
                <w:rFonts w:hint="eastAsia" w:ascii="Times New Roman" w:hAnsi="Times New Roman" w:cs="Times New Roman"/>
                <w:color w:val="000000"/>
                <w:kern w:val="0"/>
                <w:sz w:val="24"/>
                <w:szCs w:val="22"/>
                <w:lang w:val="en-US" w:eastAsia="zh-CN"/>
              </w:rPr>
              <w:t>3</w:t>
            </w:r>
            <w:r>
              <w:rPr>
                <w:rFonts w:ascii="Times New Roman" w:hAnsi="Times New Roman" w:cs="Times New Roman"/>
                <w:color w:val="000000"/>
                <w:kern w:val="0"/>
                <w:sz w:val="24"/>
                <w:szCs w:val="22"/>
              </w:rPr>
              <w:t>类功能区标准限值要求。项目厂界▲3点位昼间测量噪声最大值为63.1dB(A)，夜间测量噪声最大值为53.9dB(A)，监测结果符合《工业企业厂界环境噪声排放标准》（GB12348-2008）4类功能区标准限值要求。</w:t>
            </w:r>
          </w:p>
          <w:p>
            <w:pPr>
              <w:pStyle w:val="2"/>
              <w:tabs>
                <w:tab w:val="left" w:pos="2631"/>
              </w:tabs>
              <w:spacing w:line="360" w:lineRule="auto"/>
              <w:ind w:left="420" w:leftChars="200"/>
              <w:jc w:val="both"/>
              <w:rPr>
                <w:rFonts w:hint="default" w:ascii="Times New Roman" w:hAnsi="Times New Roman" w:cs="Times New Roman"/>
              </w:rPr>
            </w:pPr>
            <w:r>
              <w:rPr>
                <w:rFonts w:hint="default" w:ascii="Times New Roman" w:hAnsi="Times New Roman" w:cs="Times New Roman"/>
              </w:rPr>
              <w:t>（5）总量监测</w:t>
            </w:r>
          </w:p>
          <w:p>
            <w:pPr>
              <w:ind w:firstLine="480" w:firstLineChars="200"/>
              <w:rPr>
                <w:rFonts w:ascii="Times New Roman" w:hAnsi="Times New Roman" w:cs="Times New Roman"/>
                <w:color w:val="000000"/>
                <w:kern w:val="0"/>
                <w:sz w:val="24"/>
                <w:szCs w:val="22"/>
                <w:highlight w:val="yellow"/>
              </w:rPr>
            </w:pPr>
            <w:r>
              <w:rPr>
                <w:rFonts w:ascii="Times New Roman" w:hAnsi="Times New Roman" w:cs="Times New Roman"/>
                <w:kern w:val="0"/>
                <w:sz w:val="24"/>
                <w:szCs w:val="22"/>
              </w:rPr>
              <w:t>项目COD排放量为</w:t>
            </w:r>
            <w:r>
              <w:rPr>
                <w:rFonts w:hint="eastAsia" w:ascii="Times New Roman" w:hAnsi="Times New Roman" w:cs="Times New Roman"/>
                <w:kern w:val="0"/>
                <w:sz w:val="24"/>
                <w:szCs w:val="22"/>
              </w:rPr>
              <w:t>0.02241</w:t>
            </w:r>
            <w:r>
              <w:rPr>
                <w:rFonts w:ascii="Times New Roman" w:hAnsi="Times New Roman" w:cs="Times New Roman"/>
                <w:kern w:val="0"/>
                <w:sz w:val="24"/>
                <w:szCs w:val="22"/>
              </w:rPr>
              <w:t>t/a，氨氮排放量为</w:t>
            </w:r>
            <w:r>
              <w:rPr>
                <w:rFonts w:hint="eastAsia" w:ascii="Times New Roman" w:hAnsi="Times New Roman" w:cs="Times New Roman"/>
                <w:kern w:val="0"/>
                <w:sz w:val="24"/>
                <w:szCs w:val="22"/>
              </w:rPr>
              <w:t>0.002241</w:t>
            </w:r>
            <w:r>
              <w:rPr>
                <w:rFonts w:ascii="Times New Roman" w:hAnsi="Times New Roman" w:cs="Times New Roman"/>
                <w:kern w:val="0"/>
                <w:sz w:val="24"/>
                <w:szCs w:val="22"/>
              </w:rPr>
              <w:t>t/a，满足环评总量控制指标要求（COD0.0268t/a、氨氮0.00268/a）。喷漆房废气排气筒VOCs（以非甲烷总烃计）排放量为0.004</w:t>
            </w:r>
            <w:r>
              <w:rPr>
                <w:rFonts w:hint="eastAsia" w:ascii="Times New Roman" w:hAnsi="Times New Roman" w:cs="Times New Roman"/>
                <w:kern w:val="0"/>
                <w:sz w:val="24"/>
                <w:szCs w:val="22"/>
                <w:lang w:val="en-US" w:eastAsia="zh-CN"/>
              </w:rPr>
              <w:t>807</w:t>
            </w:r>
            <w:r>
              <w:rPr>
                <w:rFonts w:ascii="Times New Roman" w:hAnsi="Times New Roman" w:cs="Times New Roman"/>
                <w:kern w:val="0"/>
                <w:sz w:val="24"/>
                <w:szCs w:val="22"/>
              </w:rPr>
              <w:t>t/a，满足环评总量控制指标要求（VOCs：0.004989t/a）。</w:t>
            </w:r>
          </w:p>
          <w:p>
            <w:pPr>
              <w:pStyle w:val="4"/>
              <w:spacing w:line="360" w:lineRule="auto"/>
              <w:rPr>
                <w:rFonts w:ascii="Times New Roman" w:hAnsi="Times New Roman" w:eastAsia="宋体" w:cs="Times New Roman"/>
                <w:color w:val="000000"/>
                <w:kern w:val="0"/>
                <w:sz w:val="24"/>
                <w:szCs w:val="22"/>
              </w:rPr>
            </w:pPr>
            <w:r>
              <w:rPr>
                <w:rFonts w:ascii="Times New Roman" w:hAnsi="Times New Roman" w:eastAsia="宋体" w:cs="Times New Roman"/>
                <w:color w:val="000000"/>
                <w:kern w:val="0"/>
                <w:sz w:val="24"/>
                <w:szCs w:val="22"/>
              </w:rPr>
              <w:t>11.2、要求与建议</w:t>
            </w:r>
          </w:p>
          <w:p>
            <w:pPr>
              <w:pStyle w:val="2"/>
              <w:tabs>
                <w:tab w:val="left" w:pos="2631"/>
              </w:tabs>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（1）建议加强厂区内的环境管理，合理规划堆放一般固废。</w:t>
            </w:r>
          </w:p>
          <w:p>
            <w:pPr>
              <w:widowControl/>
              <w:adjustRightInd w:val="0"/>
              <w:snapToGrid w:val="0"/>
              <w:spacing w:line="336" w:lineRule="auto"/>
              <w:ind w:firstLine="480" w:firstLineChars="200"/>
              <w:rPr>
                <w:rFonts w:ascii="Times New Roman" w:hAnsi="Times New Roman" w:cs="Times New Roman"/>
                <w:color w:val="000000"/>
                <w:kern w:val="0"/>
                <w:sz w:val="24"/>
                <w:szCs w:val="22"/>
              </w:rPr>
            </w:pPr>
            <w:r>
              <w:rPr>
                <w:rFonts w:ascii="Times New Roman" w:hAnsi="Times New Roman" w:cs="Times New Roman"/>
                <w:color w:val="000000"/>
                <w:kern w:val="0"/>
                <w:sz w:val="24"/>
                <w:szCs w:val="22"/>
              </w:rPr>
              <w:t>（2）建议加强项目的危废管理，项目产生的废过滤棉、废活性炭、废油漆桶等危险废物达到一定量后建议委托有处理资质的相关单位处置并建立危险废物处理五联单及相关台账。</w:t>
            </w:r>
          </w:p>
          <w:p>
            <w:pPr>
              <w:pStyle w:val="2"/>
              <w:spacing w:line="336" w:lineRule="auto"/>
              <w:ind w:firstLine="480" w:firstLineChars="200"/>
              <w:rPr>
                <w:rFonts w:hint="default" w:ascii="Times New Roman" w:hAnsi="Times New Roman" w:cs="Times New Roman"/>
              </w:rPr>
            </w:pPr>
            <w:r>
              <w:rPr>
                <w:rFonts w:hint="default" w:ascii="Times New Roman" w:hAnsi="Times New Roman" w:cs="Times New Roman"/>
              </w:rPr>
              <w:t>（3）加强各环保设施的维护和管理工作，确保各处理设施正常运行，污染物稳定达标排放。</w:t>
            </w:r>
          </w:p>
          <w:p>
            <w:pPr>
              <w:pStyle w:val="2"/>
              <w:spacing w:line="336" w:lineRule="auto"/>
              <w:ind w:firstLine="480" w:firstLineChars="200"/>
              <w:rPr>
                <w:rFonts w:hint="default" w:ascii="Times New Roman" w:hAnsi="Times New Roman" w:cs="Times New Roman"/>
              </w:rPr>
            </w:pPr>
            <w:r>
              <w:rPr>
                <w:rFonts w:hint="default" w:ascii="Times New Roman" w:hAnsi="Times New Roman" w:cs="Times New Roman"/>
              </w:rPr>
              <w:t>（4）完善排污口规范化建设。</w:t>
            </w:r>
          </w:p>
          <w:p>
            <w:pPr>
              <w:pStyle w:val="2"/>
              <w:spacing w:line="336" w:lineRule="auto"/>
              <w:ind w:firstLine="480" w:firstLineChars="200"/>
              <w:rPr>
                <w:rFonts w:hint="default" w:ascii="Times New Roman" w:hAnsi="Times New Roman" w:cs="Times New Roman"/>
              </w:rPr>
            </w:pPr>
            <w:r>
              <w:rPr>
                <w:rFonts w:ascii="Times New Roman" w:hAnsi="Times New Roman" w:cs="Times New Roman"/>
              </w:rPr>
              <w:t>（5）建议企业后期安全条件允许的情况下，增加喷漆房废气排气筒的高度至15米。</w:t>
            </w:r>
          </w:p>
          <w:p>
            <w:pPr>
              <w:pStyle w:val="2"/>
              <w:spacing w:line="336" w:lineRule="auto"/>
              <w:ind w:firstLine="480" w:firstLineChars="200"/>
              <w:rPr>
                <w:rFonts w:hint="default" w:ascii="Times New Roman" w:hAnsi="Times New Roman" w:cs="Times New Roman"/>
              </w:rPr>
            </w:pPr>
          </w:p>
          <w:p>
            <w:pPr>
              <w:pStyle w:val="2"/>
              <w:tabs>
                <w:tab w:val="left" w:pos="2631"/>
              </w:tabs>
              <w:spacing w:line="360" w:lineRule="auto"/>
              <w:ind w:left="420" w:leftChars="200"/>
              <w:jc w:val="both"/>
              <w:rPr>
                <w:rFonts w:hint="default" w:ascii="Times New Roman" w:hAnsi="Times New Roman" w:cs="Times New Roman"/>
              </w:rPr>
            </w:pPr>
            <w:bookmarkStart w:id="33" w:name="_GoBack"/>
            <w:bookmarkEnd w:id="33"/>
          </w:p>
          <w:p>
            <w:pPr>
              <w:pStyle w:val="8"/>
              <w:rPr>
                <w:rFonts w:ascii="Times New Roman" w:hAnsi="Times New Roman" w:cs="Times New Roman"/>
                <w:color w:val="000000"/>
                <w:kern w:val="0"/>
                <w:sz w:val="24"/>
                <w:szCs w:val="22"/>
              </w:rPr>
            </w:pPr>
          </w:p>
        </w:tc>
      </w:tr>
      <w:bookmarkEnd w:id="32"/>
    </w:tbl>
    <w:p>
      <w:pPr>
        <w:pStyle w:val="2"/>
        <w:rPr>
          <w:rFonts w:hint="default"/>
        </w:rPr>
      </w:pPr>
    </w:p>
    <w:p>
      <w:pPr>
        <w:pStyle w:val="2"/>
        <w:rPr>
          <w:rFonts w:hint="default"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00" w:lineRule="exact"/>
        <w:jc w:val="center"/>
        <w:rPr>
          <w:rFonts w:ascii="Times New Roman" w:hAnsi="Times New Roman" w:eastAsia="黑体" w:cs="Times New Roman"/>
          <w:b/>
          <w:color w:val="000000"/>
          <w:szCs w:val="21"/>
        </w:rPr>
      </w:pPr>
      <w:r>
        <w:rPr>
          <w:rFonts w:ascii="Times New Roman" w:hAnsi="Times New Roman" w:eastAsia="黑体" w:cs="Times New Roman"/>
          <w:b/>
          <w:color w:val="000000"/>
          <w:szCs w:val="21"/>
        </w:rPr>
        <w:t>建设项目竣工环境保护“三同时”验收登记表</w:t>
      </w:r>
    </w:p>
    <w:p>
      <w:pPr>
        <w:rPr>
          <w:rFonts w:ascii="Times New Roman" w:hAnsi="Times New Roman" w:cs="Times New Roman"/>
          <w:b/>
          <w:color w:val="000000"/>
          <w:sz w:val="18"/>
          <w:szCs w:val="18"/>
        </w:rPr>
      </w:pPr>
      <w:r>
        <w:rPr>
          <w:rFonts w:ascii="Times New Roman" w:hAnsi="Times New Roman" w:cs="Times New Roman"/>
          <w:b/>
          <w:color w:val="000000"/>
          <w:sz w:val="18"/>
          <w:szCs w:val="18"/>
        </w:rPr>
        <w:t>填表单位（盖章）：</w:t>
      </w:r>
      <w:r>
        <w:rPr>
          <w:rFonts w:hint="eastAsia" w:ascii="Times New Roman" w:hAnsi="Times New Roman" w:cs="Times New Roman"/>
          <w:b/>
          <w:color w:val="000000"/>
          <w:sz w:val="18"/>
          <w:szCs w:val="18"/>
        </w:rPr>
        <w:t>咸宁黄浦丰田汽车销售服务有限公司</w:t>
      </w:r>
      <w:r>
        <w:rPr>
          <w:rFonts w:ascii="Times New Roman" w:hAnsi="Times New Roman" w:cs="Times New Roman"/>
          <w:b/>
          <w:color w:val="000000"/>
          <w:sz w:val="18"/>
          <w:szCs w:val="18"/>
        </w:rPr>
        <w:t xml:space="preserve">     填表人（签字）：                              项目经办人（签字）：</w:t>
      </w:r>
    </w:p>
    <w:tbl>
      <w:tblPr>
        <w:tblStyle w:val="16"/>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172"/>
        <w:gridCol w:w="624"/>
        <w:gridCol w:w="828"/>
        <w:gridCol w:w="1379"/>
        <w:gridCol w:w="1097"/>
        <w:gridCol w:w="987"/>
        <w:gridCol w:w="6"/>
        <w:gridCol w:w="314"/>
        <w:gridCol w:w="627"/>
        <w:gridCol w:w="1295"/>
        <w:gridCol w:w="1064"/>
        <w:gridCol w:w="1718"/>
        <w:gridCol w:w="1027"/>
        <w:gridCol w:w="420"/>
        <w:gridCol w:w="824"/>
        <w:gridCol w:w="1102"/>
        <w:gridCol w:w="277"/>
        <w:gridCol w:w="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430" w:type="dxa"/>
            <w:vMerge w:val="restart"/>
            <w:tcMar>
              <w:left w:w="57" w:type="dxa"/>
              <w:right w:w="57" w:type="dxa"/>
            </w:tcMar>
            <w:textDirection w:val="tbRlV"/>
            <w:vAlign w:val="center"/>
          </w:tcPr>
          <w:p>
            <w:pPr>
              <w:ind w:left="113" w:right="113"/>
              <w:jc w:val="center"/>
              <w:rPr>
                <w:rFonts w:ascii="Times New Roman" w:hAnsi="Times New Roman" w:cs="Times New Roman"/>
                <w:b/>
                <w:color w:val="000000"/>
                <w:sz w:val="15"/>
                <w:szCs w:val="15"/>
              </w:rPr>
            </w:pPr>
            <w:r>
              <w:rPr>
                <w:rFonts w:ascii="Times New Roman" w:hAnsi="Times New Roman" w:cs="Times New Roman"/>
                <w:b/>
                <w:color w:val="000000"/>
                <w:sz w:val="15"/>
                <w:szCs w:val="15"/>
              </w:rPr>
              <w:t>建设项目</w:t>
            </w:r>
          </w:p>
        </w:tc>
        <w:tc>
          <w:tcPr>
            <w:tcW w:w="1964" w:type="dxa"/>
            <w:gridSpan w:val="3"/>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项目名称</w:t>
            </w:r>
          </w:p>
        </w:tc>
        <w:tc>
          <w:tcPr>
            <w:tcW w:w="5238" w:type="dxa"/>
            <w:gridSpan w:val="7"/>
            <w:tcMar>
              <w:left w:w="57" w:type="dxa"/>
              <w:right w:w="57" w:type="dxa"/>
            </w:tcMa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color w:val="000000"/>
                <w:sz w:val="15"/>
                <w:szCs w:val="15"/>
              </w:rPr>
              <w:t>咸宁黄浦丰田汽车销售服务有限公司咸宁一汽丰田4S店项目</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项目代码</w:t>
            </w:r>
          </w:p>
        </w:tc>
        <w:tc>
          <w:tcPr>
            <w:tcW w:w="1718" w:type="dxa"/>
            <w:tcMar>
              <w:left w:w="57" w:type="dxa"/>
              <w:right w:w="57" w:type="dxa"/>
            </w:tcMar>
          </w:tcPr>
          <w:p>
            <w:pPr>
              <w:spacing w:line="240" w:lineRule="auto"/>
              <w:jc w:val="center"/>
              <w:rPr>
                <w:rFonts w:ascii="Times New Roman" w:hAnsi="Times New Roman" w:cs="Times New Roman"/>
                <w:color w:val="000000"/>
                <w:sz w:val="15"/>
                <w:szCs w:val="15"/>
              </w:rPr>
            </w:pPr>
          </w:p>
        </w:tc>
        <w:tc>
          <w:tcPr>
            <w:tcW w:w="1447" w:type="dxa"/>
            <w:gridSpan w:val="2"/>
            <w:tcMar>
              <w:left w:w="57" w:type="dxa"/>
              <w:right w:w="57" w:type="dxa"/>
            </w:tcMa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建设地点</w:t>
            </w:r>
          </w:p>
        </w:tc>
        <w:tc>
          <w:tcPr>
            <w:tcW w:w="2720" w:type="dxa"/>
            <w:gridSpan w:val="4"/>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咸宁市咸安经济开发区咸潘公路旁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行业类别（分类管理名录）</w:t>
            </w:r>
          </w:p>
        </w:tc>
        <w:tc>
          <w:tcPr>
            <w:tcW w:w="5238" w:type="dxa"/>
            <w:gridSpan w:val="7"/>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F5261 汽车零售、O8011汽车修理与维护</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建设性质</w:t>
            </w:r>
          </w:p>
        </w:tc>
        <w:tc>
          <w:tcPr>
            <w:tcW w:w="3165"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√新建  □改扩建  □技术改造</w:t>
            </w:r>
          </w:p>
        </w:tc>
        <w:tc>
          <w:tcPr>
            <w:tcW w:w="2203" w:type="dxa"/>
            <w:gridSpan w:val="3"/>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项目厂区中心经度/纬度</w:t>
            </w:r>
          </w:p>
        </w:tc>
        <w:tc>
          <w:tcPr>
            <w:tcW w:w="517" w:type="dxa"/>
            <w:tcMar>
              <w:left w:w="57" w:type="dxa"/>
              <w:right w:w="57" w:type="dxa"/>
            </w:tcMar>
            <w:vAlign w:val="center"/>
          </w:tcPr>
          <w:p>
            <w:pPr>
              <w:spacing w:line="240" w:lineRule="auto"/>
              <w:jc w:val="center"/>
              <w:rPr>
                <w:rFonts w:ascii="Times New Roman" w:hAnsi="Times New Roman"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9"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设计生产能力</w:t>
            </w:r>
          </w:p>
        </w:tc>
        <w:tc>
          <w:tcPr>
            <w:tcW w:w="5238" w:type="dxa"/>
            <w:gridSpan w:val="7"/>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color w:val="000000"/>
                <w:sz w:val="15"/>
                <w:szCs w:val="15"/>
              </w:rPr>
              <w:t>年销售汽车600台、年维修保养汽车2000台</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实际生产能力</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年销售汽车600台、年维修汽车合次2000台</w:t>
            </w:r>
          </w:p>
        </w:tc>
        <w:tc>
          <w:tcPr>
            <w:tcW w:w="1447"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环评单位</w:t>
            </w:r>
          </w:p>
        </w:tc>
        <w:tc>
          <w:tcPr>
            <w:tcW w:w="2720" w:type="dxa"/>
            <w:gridSpan w:val="4"/>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湖北楚天焕鑫环境工程有限公司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环评文件审批机关</w:t>
            </w:r>
          </w:p>
        </w:tc>
        <w:tc>
          <w:tcPr>
            <w:tcW w:w="5238" w:type="dxa"/>
            <w:gridSpan w:val="7"/>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咸宁市生态环境局咸安区分局</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审批文号</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咸安环审[20</w:t>
            </w:r>
            <w:r>
              <w:rPr>
                <w:rFonts w:hint="eastAsia" w:ascii="Times New Roman" w:hAnsi="Times New Roman" w:cs="Times New Roman"/>
                <w:b/>
                <w:color w:val="000000"/>
                <w:sz w:val="15"/>
                <w:szCs w:val="15"/>
              </w:rPr>
              <w:t>20</w:t>
            </w:r>
            <w:r>
              <w:rPr>
                <w:rFonts w:ascii="Times New Roman" w:hAnsi="Times New Roman" w:cs="Times New Roman"/>
                <w:b/>
                <w:color w:val="000000"/>
                <w:sz w:val="15"/>
                <w:szCs w:val="15"/>
              </w:rPr>
              <w:t>]</w:t>
            </w:r>
            <w:r>
              <w:rPr>
                <w:rFonts w:hint="eastAsia" w:ascii="Times New Roman" w:hAnsi="Times New Roman" w:cs="Times New Roman"/>
                <w:b/>
                <w:color w:val="000000"/>
                <w:sz w:val="15"/>
                <w:szCs w:val="15"/>
              </w:rPr>
              <w:t>13</w:t>
            </w:r>
            <w:r>
              <w:rPr>
                <w:rFonts w:ascii="Times New Roman" w:hAnsi="Times New Roman" w:cs="Times New Roman"/>
                <w:b/>
                <w:color w:val="000000"/>
                <w:sz w:val="15"/>
                <w:szCs w:val="15"/>
              </w:rPr>
              <w:t>号</w:t>
            </w:r>
          </w:p>
        </w:tc>
        <w:tc>
          <w:tcPr>
            <w:tcW w:w="1447"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环评文件类型</w:t>
            </w:r>
          </w:p>
        </w:tc>
        <w:tc>
          <w:tcPr>
            <w:tcW w:w="2720" w:type="dxa"/>
            <w:gridSpan w:val="4"/>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开工日期</w:t>
            </w:r>
          </w:p>
        </w:tc>
        <w:tc>
          <w:tcPr>
            <w:tcW w:w="5238" w:type="dxa"/>
            <w:gridSpan w:val="7"/>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2011年10月</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竣工日期</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20</w:t>
            </w:r>
            <w:r>
              <w:rPr>
                <w:rFonts w:hint="eastAsia" w:ascii="Times New Roman" w:hAnsi="Times New Roman" w:cs="Times New Roman"/>
                <w:b/>
                <w:color w:val="000000"/>
                <w:sz w:val="15"/>
                <w:szCs w:val="15"/>
              </w:rPr>
              <w:t>12</w:t>
            </w:r>
            <w:r>
              <w:rPr>
                <w:rFonts w:ascii="Times New Roman" w:hAnsi="Times New Roman" w:cs="Times New Roman"/>
                <w:b/>
                <w:color w:val="000000"/>
                <w:sz w:val="15"/>
                <w:szCs w:val="15"/>
              </w:rPr>
              <w:t>年</w:t>
            </w:r>
            <w:r>
              <w:rPr>
                <w:rFonts w:hint="eastAsia" w:ascii="Times New Roman" w:hAnsi="Times New Roman" w:cs="Times New Roman"/>
                <w:b/>
                <w:color w:val="000000"/>
                <w:sz w:val="15"/>
                <w:szCs w:val="15"/>
              </w:rPr>
              <w:t>1</w:t>
            </w:r>
            <w:r>
              <w:rPr>
                <w:rFonts w:ascii="Times New Roman" w:hAnsi="Times New Roman" w:cs="Times New Roman"/>
                <w:b/>
                <w:color w:val="000000"/>
                <w:sz w:val="15"/>
                <w:szCs w:val="15"/>
              </w:rPr>
              <w:t>月</w:t>
            </w:r>
          </w:p>
        </w:tc>
        <w:tc>
          <w:tcPr>
            <w:tcW w:w="1447"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排污许可证申领时间</w:t>
            </w:r>
          </w:p>
        </w:tc>
        <w:tc>
          <w:tcPr>
            <w:tcW w:w="2720" w:type="dxa"/>
            <w:gridSpan w:val="4"/>
            <w:tcMar>
              <w:left w:w="57" w:type="dxa"/>
              <w:right w:w="57" w:type="dxa"/>
            </w:tcMar>
            <w:vAlign w:val="center"/>
          </w:tcPr>
          <w:p>
            <w:pPr>
              <w:spacing w:line="240" w:lineRule="auto"/>
              <w:jc w:val="center"/>
              <w:rPr>
                <w:rFonts w:ascii="Times New Roman" w:hAnsi="Times New Roman"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3"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环保设施设计单位</w:t>
            </w:r>
          </w:p>
        </w:tc>
        <w:tc>
          <w:tcPr>
            <w:tcW w:w="5238" w:type="dxa"/>
            <w:gridSpan w:val="7"/>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咸宁市永昌机电有限公司</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环保设施施工单位</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咸宁市永昌机电有限公司</w:t>
            </w:r>
          </w:p>
        </w:tc>
        <w:tc>
          <w:tcPr>
            <w:tcW w:w="1447"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本工程排污许可证编号</w:t>
            </w:r>
          </w:p>
        </w:tc>
        <w:tc>
          <w:tcPr>
            <w:tcW w:w="2720" w:type="dxa"/>
            <w:gridSpan w:val="4"/>
            <w:tcMar>
              <w:left w:w="57" w:type="dxa"/>
              <w:right w:w="57" w:type="dxa"/>
            </w:tcMar>
            <w:vAlign w:val="center"/>
          </w:tcPr>
          <w:p>
            <w:pPr>
              <w:spacing w:line="240" w:lineRule="auto"/>
              <w:jc w:val="center"/>
              <w:rPr>
                <w:rFonts w:ascii="Times New Roman" w:hAnsi="Times New Roman"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验收单位</w:t>
            </w:r>
          </w:p>
        </w:tc>
        <w:tc>
          <w:tcPr>
            <w:tcW w:w="5238" w:type="dxa"/>
            <w:gridSpan w:val="7"/>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湖北省公信检测服务有限公司</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环保设施监测单位</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p>
        </w:tc>
        <w:tc>
          <w:tcPr>
            <w:tcW w:w="1447"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验收监测时工况</w:t>
            </w:r>
          </w:p>
        </w:tc>
        <w:tc>
          <w:tcPr>
            <w:tcW w:w="2720" w:type="dxa"/>
            <w:gridSpan w:val="4"/>
            <w:tcMar>
              <w:left w:w="57" w:type="dxa"/>
              <w:right w:w="57" w:type="dxa"/>
            </w:tcMar>
            <w:vAlign w:val="center"/>
          </w:tcPr>
          <w:p>
            <w:pPr>
              <w:spacing w:line="240" w:lineRule="auto"/>
              <w:jc w:val="center"/>
              <w:rPr>
                <w:rFonts w:ascii="Times New Roman" w:hAnsi="Times New Roman"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5"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投资总概算（万元）</w:t>
            </w:r>
          </w:p>
        </w:tc>
        <w:tc>
          <w:tcPr>
            <w:tcW w:w="5238" w:type="dxa"/>
            <w:gridSpan w:val="7"/>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1000</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环保投资总概算（万元）</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50</w:t>
            </w:r>
          </w:p>
        </w:tc>
        <w:tc>
          <w:tcPr>
            <w:tcW w:w="1447" w:type="dxa"/>
            <w:gridSpan w:val="2"/>
            <w:tcMar>
              <w:left w:w="57" w:type="dxa"/>
              <w:right w:w="57" w:type="dxa"/>
            </w:tcMar>
            <w:vAlign w:val="center"/>
          </w:tcPr>
          <w:p>
            <w:pPr>
              <w:tabs>
                <w:tab w:val="left" w:pos="690"/>
              </w:tabs>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所占比例（%）</w:t>
            </w:r>
          </w:p>
        </w:tc>
        <w:tc>
          <w:tcPr>
            <w:tcW w:w="2720" w:type="dxa"/>
            <w:gridSpan w:val="4"/>
            <w:tcMar>
              <w:left w:w="57" w:type="dxa"/>
              <w:right w:w="57" w:type="dxa"/>
            </w:tcMar>
            <w:vAlign w:val="center"/>
          </w:tcPr>
          <w:p>
            <w:pPr>
              <w:tabs>
                <w:tab w:val="left" w:pos="690"/>
              </w:tabs>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实际总投资</w:t>
            </w:r>
          </w:p>
        </w:tc>
        <w:tc>
          <w:tcPr>
            <w:tcW w:w="5238" w:type="dxa"/>
            <w:gridSpan w:val="7"/>
            <w:tcMar>
              <w:left w:w="57" w:type="dxa"/>
              <w:right w:w="57" w:type="dxa"/>
            </w:tcMar>
            <w:vAlign w:val="center"/>
          </w:tcPr>
          <w:p>
            <w:pPr>
              <w:spacing w:line="240" w:lineRule="auto"/>
              <w:jc w:val="center"/>
              <w:rPr>
                <w:rFonts w:ascii="Times New Roman" w:hAnsi="Times New Roman" w:cs="Times New Roman"/>
                <w:b/>
                <w:color w:val="000000"/>
                <w:sz w:val="15"/>
                <w:szCs w:val="15"/>
                <w:highlight w:val="red"/>
              </w:rPr>
            </w:pPr>
            <w:r>
              <w:rPr>
                <w:rFonts w:hint="eastAsia" w:ascii="Times New Roman" w:hAnsi="Times New Roman" w:cs="Times New Roman"/>
                <w:b/>
                <w:color w:val="000000"/>
                <w:sz w:val="15"/>
                <w:szCs w:val="15"/>
              </w:rPr>
              <w:t>1000</w:t>
            </w:r>
          </w:p>
        </w:tc>
        <w:tc>
          <w:tcPr>
            <w:tcW w:w="2359" w:type="dxa"/>
            <w:gridSpan w:val="2"/>
            <w:tcMar>
              <w:left w:w="57" w:type="dxa"/>
              <w:right w:w="57" w:type="dxa"/>
            </w:tcMar>
            <w:vAlign w:val="center"/>
          </w:tcPr>
          <w:p>
            <w:pPr>
              <w:spacing w:line="240" w:lineRule="auto"/>
              <w:ind w:right="300"/>
              <w:jc w:val="center"/>
              <w:rPr>
                <w:rFonts w:ascii="Times New Roman" w:hAnsi="Times New Roman" w:cs="Times New Roman"/>
                <w:b/>
                <w:color w:val="000000"/>
                <w:sz w:val="15"/>
                <w:szCs w:val="15"/>
              </w:rPr>
            </w:pPr>
            <w:r>
              <w:rPr>
                <w:rFonts w:ascii="Times New Roman" w:hAnsi="Times New Roman" w:cs="Times New Roman"/>
                <w:b/>
                <w:color w:val="000000"/>
                <w:sz w:val="15"/>
                <w:szCs w:val="15"/>
              </w:rPr>
              <w:t>实际环保投资（万元）</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32</w:t>
            </w:r>
          </w:p>
        </w:tc>
        <w:tc>
          <w:tcPr>
            <w:tcW w:w="1447"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所占比例（%）</w:t>
            </w:r>
          </w:p>
        </w:tc>
        <w:tc>
          <w:tcPr>
            <w:tcW w:w="2720" w:type="dxa"/>
            <w:gridSpan w:val="4"/>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6"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废水治理（万元）</w:t>
            </w:r>
          </w:p>
        </w:tc>
        <w:tc>
          <w:tcPr>
            <w:tcW w:w="82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5</w:t>
            </w:r>
          </w:p>
        </w:tc>
        <w:tc>
          <w:tcPr>
            <w:tcW w:w="1379"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废气治理（万元）</w:t>
            </w:r>
          </w:p>
        </w:tc>
        <w:tc>
          <w:tcPr>
            <w:tcW w:w="1097"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17</w:t>
            </w:r>
          </w:p>
        </w:tc>
        <w:tc>
          <w:tcPr>
            <w:tcW w:w="1307" w:type="dxa"/>
            <w:gridSpan w:val="3"/>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噪声治理（万元）</w:t>
            </w:r>
          </w:p>
        </w:tc>
        <w:tc>
          <w:tcPr>
            <w:tcW w:w="627"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2</w:t>
            </w: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固体废物治理（万元）</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10</w:t>
            </w:r>
          </w:p>
        </w:tc>
        <w:tc>
          <w:tcPr>
            <w:tcW w:w="1447"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绿化及生态（万元）</w:t>
            </w:r>
          </w:p>
        </w:tc>
        <w:tc>
          <w:tcPr>
            <w:tcW w:w="824" w:type="dxa"/>
            <w:tcMar>
              <w:left w:w="57" w:type="dxa"/>
              <w:right w:w="57" w:type="dxa"/>
            </w:tcMar>
            <w:vAlign w:val="center"/>
          </w:tcPr>
          <w:p>
            <w:pPr>
              <w:spacing w:line="240" w:lineRule="auto"/>
              <w:jc w:val="center"/>
              <w:rPr>
                <w:rFonts w:ascii="Times New Roman" w:hAnsi="Times New Roman" w:cs="Times New Roman"/>
                <w:b/>
                <w:color w:val="000000"/>
                <w:sz w:val="15"/>
                <w:szCs w:val="15"/>
              </w:rPr>
            </w:pPr>
          </w:p>
        </w:tc>
        <w:tc>
          <w:tcPr>
            <w:tcW w:w="1102"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其他（万元）</w:t>
            </w:r>
          </w:p>
        </w:tc>
        <w:tc>
          <w:tcPr>
            <w:tcW w:w="794" w:type="dxa"/>
            <w:gridSpan w:val="2"/>
            <w:tcMar>
              <w:left w:w="57" w:type="dxa"/>
              <w:right w:w="57" w:type="dxa"/>
            </w:tcMar>
          </w:tcPr>
          <w:p>
            <w:pPr>
              <w:spacing w:line="240" w:lineRule="auto"/>
              <w:jc w:val="center"/>
              <w:rPr>
                <w:rFonts w:ascii="Times New Roman" w:hAnsi="Times New Roman" w:cs="Times New Roman"/>
                <w:b/>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430" w:type="dxa"/>
            <w:vMerge w:val="continue"/>
            <w:tcMar>
              <w:left w:w="57" w:type="dxa"/>
              <w:right w:w="57" w:type="dxa"/>
            </w:tcMar>
            <w:vAlign w:val="center"/>
          </w:tcPr>
          <w:p>
            <w:pPr>
              <w:jc w:val="center"/>
              <w:rPr>
                <w:rFonts w:ascii="Times New Roman" w:hAnsi="Times New Roman" w:cs="Times New Roman"/>
                <w:color w:val="000000"/>
                <w:sz w:val="15"/>
                <w:szCs w:val="15"/>
              </w:rPr>
            </w:pPr>
          </w:p>
        </w:tc>
        <w:tc>
          <w:tcPr>
            <w:tcW w:w="1964" w:type="dxa"/>
            <w:gridSpan w:val="3"/>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新增废水处理设施能力</w:t>
            </w:r>
          </w:p>
        </w:tc>
        <w:tc>
          <w:tcPr>
            <w:tcW w:w="5238" w:type="dxa"/>
            <w:gridSpan w:val="7"/>
            <w:tcMar>
              <w:left w:w="57" w:type="dxa"/>
              <w:right w:w="57" w:type="dxa"/>
            </w:tcMar>
            <w:vAlign w:val="center"/>
          </w:tcPr>
          <w:p>
            <w:pPr>
              <w:spacing w:line="240" w:lineRule="auto"/>
              <w:jc w:val="center"/>
              <w:rPr>
                <w:rFonts w:ascii="Times New Roman" w:hAnsi="Times New Roman" w:cs="Times New Roman"/>
                <w:b/>
                <w:color w:val="000000"/>
                <w:sz w:val="15"/>
                <w:szCs w:val="15"/>
              </w:rPr>
            </w:pPr>
          </w:p>
        </w:tc>
        <w:tc>
          <w:tcPr>
            <w:tcW w:w="2359"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新增废气处理设施能力</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p>
        </w:tc>
        <w:tc>
          <w:tcPr>
            <w:tcW w:w="1447"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年平均工作时</w:t>
            </w:r>
          </w:p>
        </w:tc>
        <w:tc>
          <w:tcPr>
            <w:tcW w:w="2720" w:type="dxa"/>
            <w:gridSpan w:val="4"/>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2394" w:type="dxa"/>
            <w:gridSpan w:val="4"/>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运营单位</w:t>
            </w:r>
          </w:p>
        </w:tc>
        <w:tc>
          <w:tcPr>
            <w:tcW w:w="4291" w:type="dxa"/>
            <w:gridSpan w:val="4"/>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咸宁盛世开元汽车销售有限公司</w:t>
            </w:r>
          </w:p>
        </w:tc>
        <w:tc>
          <w:tcPr>
            <w:tcW w:w="3306" w:type="dxa"/>
            <w:gridSpan w:val="5"/>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运营单位社会统一信用代码（或组织机构代码）</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p>
        </w:tc>
        <w:tc>
          <w:tcPr>
            <w:tcW w:w="1447"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验收时间</w:t>
            </w:r>
          </w:p>
        </w:tc>
        <w:tc>
          <w:tcPr>
            <w:tcW w:w="2720" w:type="dxa"/>
            <w:gridSpan w:val="4"/>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hint="eastAsia" w:ascii="Times New Roman" w:hAnsi="Times New Roman" w:cs="Times New Roman"/>
                <w:b/>
                <w:color w:val="000000"/>
                <w:sz w:val="15"/>
                <w:szCs w:val="15"/>
              </w:rPr>
              <w:t>2020.06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restart"/>
            <w:tcMar>
              <w:left w:w="57" w:type="dxa"/>
              <w:right w:w="57" w:type="dxa"/>
            </w:tcMar>
            <w:vAlign w:val="center"/>
          </w:tcPr>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污染</w:t>
            </w:r>
          </w:p>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物排</w:t>
            </w:r>
          </w:p>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放达</w:t>
            </w:r>
          </w:p>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标与</w:t>
            </w:r>
          </w:p>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总量</w:t>
            </w:r>
          </w:p>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控制（工</w:t>
            </w:r>
          </w:p>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业建</w:t>
            </w:r>
          </w:p>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设项</w:t>
            </w:r>
          </w:p>
          <w:p>
            <w:pPr>
              <w:spacing w:line="240" w:lineRule="auto"/>
              <w:jc w:val="center"/>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目详填）</w:t>
            </w:r>
          </w:p>
        </w:tc>
        <w:tc>
          <w:tcPr>
            <w:tcW w:w="1796"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污染物</w:t>
            </w:r>
          </w:p>
        </w:tc>
        <w:tc>
          <w:tcPr>
            <w:tcW w:w="82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原有排</w:t>
            </w:r>
          </w:p>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放量(1)</w:t>
            </w:r>
          </w:p>
        </w:tc>
        <w:tc>
          <w:tcPr>
            <w:tcW w:w="1379"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本期工程实际排放浓度(2)</w:t>
            </w:r>
          </w:p>
        </w:tc>
        <w:tc>
          <w:tcPr>
            <w:tcW w:w="1097"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本期工程允许排放浓度(3)</w:t>
            </w:r>
          </w:p>
        </w:tc>
        <w:tc>
          <w:tcPr>
            <w:tcW w:w="993"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本期工程产生量(4)</w:t>
            </w:r>
          </w:p>
        </w:tc>
        <w:tc>
          <w:tcPr>
            <w:tcW w:w="941"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本期工程自身削减量(5)</w:t>
            </w:r>
          </w:p>
        </w:tc>
        <w:tc>
          <w:tcPr>
            <w:tcW w:w="1295"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本期工程实际排放量(6)</w:t>
            </w:r>
          </w:p>
        </w:tc>
        <w:tc>
          <w:tcPr>
            <w:tcW w:w="1064"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本期工程核定排放总量(7)</w:t>
            </w:r>
          </w:p>
        </w:tc>
        <w:tc>
          <w:tcPr>
            <w:tcW w:w="1718"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本期工程“以新带老”削减量(8)</w:t>
            </w:r>
          </w:p>
        </w:tc>
        <w:tc>
          <w:tcPr>
            <w:tcW w:w="1027"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全厂实际排放总量(9)</w:t>
            </w:r>
          </w:p>
        </w:tc>
        <w:tc>
          <w:tcPr>
            <w:tcW w:w="1244"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全厂核定排放总量(10)</w:t>
            </w:r>
          </w:p>
        </w:tc>
        <w:tc>
          <w:tcPr>
            <w:tcW w:w="1102" w:type="dxa"/>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区域平衡替代削减量(11)</w:t>
            </w:r>
          </w:p>
        </w:tc>
        <w:tc>
          <w:tcPr>
            <w:tcW w:w="794"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vAlign w:val="cente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废水</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化学需氧量</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300</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0.02241</w:t>
            </w:r>
          </w:p>
        </w:tc>
        <w:tc>
          <w:tcPr>
            <w:tcW w:w="1064" w:type="dxa"/>
            <w:tcMar>
              <w:left w:w="57" w:type="dxa"/>
              <w:right w:w="57" w:type="dxa"/>
            </w:tcMar>
            <w:vAlign w:val="center"/>
          </w:tcPr>
          <w:p>
            <w:pPr>
              <w:spacing w:line="240" w:lineRule="auto"/>
              <w:ind w:firstLine="301" w:firstLineChars="200"/>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0.0268</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氨氮</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25</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0.002241</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0.00268</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石油类</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eastAsia="黑体" w:cs="Times New Roman"/>
                <w:b/>
                <w:color w:val="000000"/>
                <w:sz w:val="15"/>
                <w:szCs w:val="15"/>
              </w:rPr>
            </w:pPr>
            <w:r>
              <w:rPr>
                <w:rFonts w:ascii="Times New Roman" w:hAnsi="Times New Roman" w:cs="Times New Roman"/>
                <w:b/>
                <w:color w:val="000000"/>
                <w:sz w:val="15"/>
                <w:szCs w:val="15"/>
              </w:rPr>
              <w:t>废气</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二氧化硫</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烟尘</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工业粉尘</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cs="Times New Roman"/>
                <w:b/>
                <w:color w:val="000000"/>
                <w:sz w:val="15"/>
                <w:szCs w:val="15"/>
              </w:rPr>
            </w:pPr>
            <w:r>
              <w:rPr>
                <w:rFonts w:ascii="Times New Roman" w:hAnsi="Times New Roman" w:cs="Times New Roman"/>
                <w:b/>
                <w:color w:val="000000"/>
                <w:sz w:val="15"/>
                <w:szCs w:val="15"/>
              </w:rPr>
              <w:t>氮氧化物</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796" w:type="dxa"/>
            <w:gridSpan w:val="2"/>
            <w:tcMar>
              <w:left w:w="57" w:type="dxa"/>
              <w:right w:w="57" w:type="dxa"/>
            </w:tcMar>
            <w:vAlign w:val="center"/>
          </w:tcPr>
          <w:p>
            <w:pPr>
              <w:spacing w:line="240" w:lineRule="auto"/>
              <w:jc w:val="center"/>
              <w:rPr>
                <w:rFonts w:ascii="Times New Roman" w:hAnsi="Times New Roman" w:eastAsia="黑体" w:cs="Times New Roman"/>
                <w:b/>
                <w:color w:val="000000"/>
                <w:sz w:val="15"/>
                <w:szCs w:val="15"/>
              </w:rPr>
            </w:pPr>
            <w:r>
              <w:rPr>
                <w:rFonts w:ascii="Times New Roman" w:hAnsi="Times New Roman" w:cs="Times New Roman"/>
                <w:b/>
                <w:color w:val="000000"/>
                <w:sz w:val="15"/>
                <w:szCs w:val="15"/>
              </w:rPr>
              <w:t>工业固体废物</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2"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172" w:type="dxa"/>
            <w:vMerge w:val="restart"/>
            <w:tcMar>
              <w:left w:w="57" w:type="dxa"/>
              <w:right w:w="57" w:type="dxa"/>
            </w:tcMar>
          </w:tcPr>
          <w:p>
            <w:pPr>
              <w:spacing w:line="240" w:lineRule="auto"/>
              <w:jc w:val="center"/>
              <w:rPr>
                <w:rFonts w:ascii="Times New Roman" w:hAnsi="Times New Roman" w:cs="Times New Roman"/>
                <w:color w:val="000000"/>
                <w:sz w:val="15"/>
                <w:szCs w:val="15"/>
              </w:rPr>
            </w:pPr>
            <w:r>
              <w:rPr>
                <w:rFonts w:ascii="Times New Roman" w:hAnsi="Times New Roman" w:cs="Times New Roman"/>
                <w:b/>
                <w:color w:val="000000"/>
                <w:sz w:val="15"/>
                <w:szCs w:val="15"/>
              </w:rPr>
              <w:t>与项目有关的其他特征污染物</w:t>
            </w:r>
          </w:p>
        </w:tc>
        <w:tc>
          <w:tcPr>
            <w:tcW w:w="624"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VOCs</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40</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hint="default" w:ascii="Times New Roman" w:hAnsi="Times New Roman" w:eastAsia="宋体" w:cs="Times New Roman"/>
                <w:b/>
                <w:bCs/>
                <w:color w:val="000000"/>
                <w:sz w:val="15"/>
                <w:szCs w:val="15"/>
                <w:lang w:val="en-US" w:eastAsia="zh-CN"/>
              </w:rPr>
            </w:pPr>
            <w:r>
              <w:rPr>
                <w:rFonts w:hint="eastAsia" w:ascii="Times New Roman" w:hAnsi="Times New Roman" w:cs="Times New Roman"/>
                <w:b/>
                <w:bCs/>
                <w:color w:val="000000"/>
                <w:sz w:val="15"/>
                <w:szCs w:val="15"/>
              </w:rPr>
              <w:t>0.00</w:t>
            </w:r>
            <w:r>
              <w:rPr>
                <w:rFonts w:hint="eastAsia" w:ascii="Times New Roman" w:hAnsi="Times New Roman" w:cs="Times New Roman"/>
                <w:b/>
                <w:bCs/>
                <w:color w:val="000000"/>
                <w:sz w:val="15"/>
                <w:szCs w:val="15"/>
                <w:lang w:val="en-US" w:eastAsia="zh-CN"/>
              </w:rPr>
              <w:t>4807</w:t>
            </w:r>
          </w:p>
        </w:tc>
        <w:tc>
          <w:tcPr>
            <w:tcW w:w="1064" w:type="dxa"/>
            <w:tcMar>
              <w:left w:w="57" w:type="dxa"/>
              <w:right w:w="57" w:type="dxa"/>
            </w:tcMar>
            <w:vAlign w:val="center"/>
          </w:tcPr>
          <w:p>
            <w:pPr>
              <w:spacing w:line="240" w:lineRule="auto"/>
              <w:jc w:val="center"/>
              <w:rPr>
                <w:rFonts w:ascii="Times New Roman" w:hAnsi="Times New Roman" w:cs="Times New Roman"/>
                <w:b/>
                <w:bCs/>
                <w:color w:val="000000"/>
                <w:sz w:val="15"/>
                <w:szCs w:val="15"/>
              </w:rPr>
            </w:pPr>
            <w:r>
              <w:rPr>
                <w:rFonts w:hint="eastAsia" w:ascii="Times New Roman" w:hAnsi="Times New Roman" w:cs="Times New Roman"/>
                <w:b/>
                <w:bCs/>
                <w:color w:val="000000"/>
                <w:sz w:val="15"/>
                <w:szCs w:val="15"/>
              </w:rPr>
              <w:t>0.004989</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172" w:type="dxa"/>
            <w:vMerge w:val="continue"/>
            <w:tcMar>
              <w:left w:w="57" w:type="dxa"/>
              <w:right w:w="57" w:type="dxa"/>
            </w:tcMar>
          </w:tcPr>
          <w:p>
            <w:pPr>
              <w:spacing w:line="240" w:lineRule="auto"/>
              <w:jc w:val="center"/>
              <w:rPr>
                <w:rFonts w:ascii="Times New Roman" w:hAnsi="Times New Roman" w:cs="Times New Roman"/>
                <w:b/>
                <w:color w:val="000000"/>
                <w:sz w:val="15"/>
                <w:szCs w:val="15"/>
              </w:rPr>
            </w:pPr>
          </w:p>
        </w:tc>
        <w:tc>
          <w:tcPr>
            <w:tcW w:w="624"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5" w:hRule="exact"/>
          <w:jc w:val="center"/>
        </w:trPr>
        <w:tc>
          <w:tcPr>
            <w:tcW w:w="598" w:type="dxa"/>
            <w:gridSpan w:val="2"/>
            <w:vMerge w:val="continue"/>
            <w:tcMar>
              <w:left w:w="57" w:type="dxa"/>
              <w:right w:w="57" w:type="dxa"/>
            </w:tcMar>
          </w:tcPr>
          <w:p>
            <w:pPr>
              <w:spacing w:line="240" w:lineRule="auto"/>
              <w:jc w:val="center"/>
              <w:rPr>
                <w:rFonts w:ascii="Times New Roman" w:hAnsi="Times New Roman" w:cs="Times New Roman"/>
                <w:color w:val="000000"/>
                <w:sz w:val="15"/>
                <w:szCs w:val="15"/>
              </w:rPr>
            </w:pPr>
          </w:p>
        </w:tc>
        <w:tc>
          <w:tcPr>
            <w:tcW w:w="1172" w:type="dxa"/>
            <w:vMerge w:val="continue"/>
            <w:tcMar>
              <w:left w:w="57" w:type="dxa"/>
              <w:right w:w="57" w:type="dxa"/>
            </w:tcMar>
          </w:tcPr>
          <w:p>
            <w:pPr>
              <w:spacing w:line="240" w:lineRule="auto"/>
              <w:jc w:val="center"/>
              <w:rPr>
                <w:rFonts w:ascii="Times New Roman" w:hAnsi="Times New Roman" w:cs="Times New Roman"/>
                <w:b/>
                <w:color w:val="000000"/>
                <w:sz w:val="15"/>
                <w:szCs w:val="15"/>
              </w:rPr>
            </w:pPr>
          </w:p>
        </w:tc>
        <w:tc>
          <w:tcPr>
            <w:tcW w:w="624"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82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379"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9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93"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941"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95"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64"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718"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027"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24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1102" w:type="dxa"/>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c>
          <w:tcPr>
            <w:tcW w:w="794" w:type="dxa"/>
            <w:gridSpan w:val="2"/>
            <w:tcMar>
              <w:left w:w="57" w:type="dxa"/>
              <w:right w:w="57" w:type="dxa"/>
            </w:tcMar>
            <w:vAlign w:val="center"/>
          </w:tcPr>
          <w:p>
            <w:pPr>
              <w:spacing w:line="240" w:lineRule="auto"/>
              <w:jc w:val="center"/>
              <w:rPr>
                <w:rFonts w:ascii="Times New Roman" w:hAnsi="Times New Roman" w:cs="Times New Roman"/>
                <w:color w:val="000000"/>
                <w:sz w:val="15"/>
                <w:szCs w:val="15"/>
              </w:rPr>
            </w:pPr>
            <w:r>
              <w:rPr>
                <w:rFonts w:ascii="Times New Roman" w:hAnsi="Times New Roman" w:cs="Times New Roman"/>
                <w:b/>
                <w:bCs/>
                <w:color w:val="000000"/>
                <w:sz w:val="15"/>
                <w:szCs w:val="15"/>
              </w:rPr>
              <w:t>/</w:t>
            </w:r>
          </w:p>
        </w:tc>
      </w:tr>
    </w:tbl>
    <w:p>
      <w:pPr>
        <w:spacing w:before="13" w:line="240" w:lineRule="auto"/>
        <w:ind w:right="-20"/>
        <w:jc w:val="center"/>
        <w:rPr>
          <w:rFonts w:ascii="Times New Roman" w:hAnsi="Times New Roman" w:cs="Times New Roman"/>
          <w:bCs/>
          <w:sz w:val="28"/>
        </w:rPr>
      </w:pPr>
      <w:r>
        <w:rPr>
          <w:rFonts w:ascii="Times New Roman" w:hAnsi="Times New Roman" w:cs="Times New Roman" w:eastAsiaTheme="minorEastAsia"/>
          <w:b/>
          <w:bCs/>
          <w:spacing w:val="2"/>
          <w:w w:val="98"/>
          <w:position w:val="-1"/>
          <w:sz w:val="15"/>
          <w:szCs w:val="15"/>
        </w:rPr>
        <w:t>注：1、排放增减量：(+)表示增加，(-)表示减少；2、(12)=(6)-(8)-(11)，(9)=(4)-(5)-(8)-(11)+(1)，3、计量单位：废水排放量——万吨/年；废气排放量——万标立方米/年；工业固体废物排放量——万吨/年； 水污染物排放浓度——毫克/升；大气污染物排放浓度——毫克/立方米；水污染物排放量——吨/年；大气污染物排放量——吨/年；3、原有排放量引用自环评报告书。</w:t>
      </w:r>
    </w:p>
    <w:sectPr>
      <w:headerReference r:id="rId13" w:type="first"/>
      <w:footerReference r:id="rId16" w:type="first"/>
      <w:headerReference r:id="rId11" w:type="default"/>
      <w:footerReference r:id="rId14" w:type="default"/>
      <w:headerReference r:id="rId12" w:type="even"/>
      <w:footerReference r:id="rId15" w:type="even"/>
      <w:pgSz w:w="16783" w:h="11850" w:orient="landscape"/>
      <w:pgMar w:top="720" w:right="720" w:bottom="720" w:left="72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0" w:lineRule="exact"/>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11"/>
                </w:pPr>
                <w:r>
                  <w:rPr>
                    <w:rFonts w:hint="eastAsia"/>
                  </w:rPr>
                  <w:t xml:space="preserve">第 </w:t>
                </w:r>
                <w:r>
                  <w:fldChar w:fldCharType="begin"/>
                </w:r>
                <w:r>
                  <w:instrText xml:space="preserve"> PAGE  \* MERGEFORMAT </w:instrText>
                </w:r>
                <w:r>
                  <w:fldChar w:fldCharType="separate"/>
                </w:r>
                <w:r>
                  <w:t>37</w:t>
                </w:r>
                <w:r>
                  <w:fldChar w:fldCharType="end"/>
                </w:r>
                <w:r>
                  <w:rPr>
                    <w:rFonts w:hint="eastAsia"/>
                  </w:rPr>
                  <w:t xml:space="preserve"> 页 共 38页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2049" o:spid="_x0000_s2049" o:spt="202" type="#_x0000_t202" style="position:absolute;left:0pt;margin-top:-10.85pt;height:20.05pt;width:77pt;mso-position-horizontal:center;mso-position-horizontal-relative:margin;z-index:251659264;mso-width-relative:page;mso-height-relative:page;" filled="f" stroked="f" coordsize="21600,21600" o:gfxdata="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gZgR7XAAAABwEA&#10;AA8AAAAAAAAAAQAgAAAAIgAAAGRycy9kb3ducmV2LnhtbFBLAQIUABQAAAAIAIdO4kBLa2GBGwIA&#10;ABMEAAAOAAAAAAAAAAEAIAAAACYBAABkcnMvZTJvRG9jLnhtbFBLBQYAAAAABgAGAFkBAACzBQAA&#10;AAA=&#10;">
          <v:path/>
          <v:fill on="f" focussize="0,0"/>
          <v:stroke on="f" weight="0.5pt" joinstyle="miter"/>
          <v:imagedata o:title=""/>
          <o:lock v:ext="edit"/>
          <v:textbox inset="0mm,0mm,0mm,0mm">
            <w:txbxContent>
              <w:p>
                <w:pPr>
                  <w:pStyle w:val="11"/>
                </w:pPr>
                <w:r>
                  <w:rPr>
                    <w:rFonts w:hint="eastAsia"/>
                  </w:rPr>
                  <w:t xml:space="preserve">第 </w:t>
                </w:r>
                <w:r>
                  <w:fldChar w:fldCharType="begin"/>
                </w:r>
                <w:r>
                  <w:instrText xml:space="preserve"> PAGE  \* MERGEFORMAT </w:instrText>
                </w:r>
                <w:r>
                  <w:fldChar w:fldCharType="separate"/>
                </w:r>
                <w:r>
                  <w:t>38</w:t>
                </w:r>
                <w:r>
                  <w:fldChar w:fldCharType="end"/>
                </w:r>
                <w:r>
                  <w:rPr>
                    <w:rFonts w:hint="eastAsia"/>
                  </w:rPr>
                  <w:t xml:space="preserve"> 页 共 38页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p>
  <w:p>
    <w:pPr>
      <w:pStyle w:val="12"/>
      <w:tabs>
        <w:tab w:val="clear" w:pos="4153"/>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tabs>
        <w:tab w:val="clear" w:pos="4153"/>
      </w:tabs>
      <w:jc w:val="center"/>
      <w:rPr>
        <w:sz w:val="21"/>
        <w:szCs w:val="21"/>
      </w:rPr>
    </w:pPr>
    <w:r>
      <w:rPr>
        <w:rFonts w:hint="eastAsia" w:ascii="Times New Roman" w:hAnsi="Times New Roman" w:cs="Times New Roman"/>
        <w:sz w:val="21"/>
        <w:szCs w:val="21"/>
      </w:rPr>
      <w:t>咸宁黄浦丰田汽车销售服务有限公司咸宁一汽丰田4S店项目竣工环境保护验收监测报告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center"/>
    </w:pPr>
  </w:p>
  <w:p>
    <w:pPr>
      <w:pStyle w:val="12"/>
      <w:pBdr>
        <w:bottom w:val="single" w:color="auto" w:sz="4" w:space="1"/>
      </w:pBdr>
    </w:pPr>
  </w:p>
  <w:p>
    <w:pPr>
      <w:pStyle w:val="12"/>
      <w:pBdr>
        <w:bottom w:val="single" w:color="auto" w:sz="4" w:space="1"/>
      </w:pBdr>
      <w:jc w:val="center"/>
    </w:pPr>
    <w:r>
      <w:rPr>
        <w:rFonts w:hint="eastAsia"/>
      </w:rPr>
      <w:t>咸宁黄浦丰田汽车销售服务有限公司咸宁一汽丰田4S店项目竣工环境保护验收监测报告表</w:t>
    </w:r>
  </w:p>
  <w:p>
    <w:pPr>
      <w:pStyle w:val="12"/>
      <w:pBdr>
        <w:bottom w:val="none" w:color="auto" w:sz="0" w:space="0"/>
      </w:pBdr>
      <w:spacing w:line="36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330EBE"/>
    <w:multiLevelType w:val="singleLevel"/>
    <w:tmpl w:val="AB330EBE"/>
    <w:lvl w:ilvl="0" w:tentative="0">
      <w:start w:val="2"/>
      <w:numFmt w:val="decimal"/>
      <w:suff w:val="nothing"/>
      <w:lvlText w:val="%1、"/>
      <w:lvlJc w:val="left"/>
    </w:lvl>
  </w:abstractNum>
  <w:abstractNum w:abstractNumId="1">
    <w:nsid w:val="35305004"/>
    <w:multiLevelType w:val="singleLevel"/>
    <w:tmpl w:val="35305004"/>
    <w:lvl w:ilvl="0" w:tentative="0">
      <w:start w:val="1"/>
      <w:numFmt w:val="decimal"/>
      <w:suff w:val="nothing"/>
      <w:lvlText w:val="（%1）"/>
      <w:lvlJc w:val="left"/>
    </w:lvl>
  </w:abstractNum>
  <w:abstractNum w:abstractNumId="2">
    <w:nsid w:val="525A0521"/>
    <w:multiLevelType w:val="singleLevel"/>
    <w:tmpl w:val="525A0521"/>
    <w:lvl w:ilvl="0" w:tentative="0">
      <w:start w:val="2"/>
      <w:numFmt w:val="decimal"/>
      <w:suff w:val="nothing"/>
      <w:lvlText w:val="（%1）"/>
      <w:lvlJc w:val="left"/>
    </w:lvl>
  </w:abstractNum>
  <w:abstractNum w:abstractNumId="3">
    <w:nsid w:val="596992E4"/>
    <w:multiLevelType w:val="singleLevel"/>
    <w:tmpl w:val="596992E4"/>
    <w:lvl w:ilvl="0" w:tentative="0">
      <w:start w:val="1"/>
      <w:numFmt w:val="chineseCounting"/>
      <w:suff w:val="nothing"/>
      <w:lvlText w:val="%1、"/>
      <w:lvlJc w:val="left"/>
    </w:lvl>
  </w:abstractNum>
  <w:abstractNum w:abstractNumId="4">
    <w:nsid w:val="59F056DA"/>
    <w:multiLevelType w:val="singleLevel"/>
    <w:tmpl w:val="59F056DA"/>
    <w:lvl w:ilvl="0" w:tentative="0">
      <w:start w:val="1"/>
      <w:numFmt w:val="decimal"/>
      <w:suff w:val="nothing"/>
      <w:lvlText w:val="（%1）"/>
      <w:lvlJc w:val="left"/>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8E22C9E"/>
    <w:rsid w:val="000804A9"/>
    <w:rsid w:val="003D5A0C"/>
    <w:rsid w:val="004018F5"/>
    <w:rsid w:val="004D0C16"/>
    <w:rsid w:val="00593F13"/>
    <w:rsid w:val="006404CA"/>
    <w:rsid w:val="0075724E"/>
    <w:rsid w:val="0085610D"/>
    <w:rsid w:val="00A8696B"/>
    <w:rsid w:val="00B74069"/>
    <w:rsid w:val="00C77D71"/>
    <w:rsid w:val="00E421CE"/>
    <w:rsid w:val="00ED671E"/>
    <w:rsid w:val="00F01F2B"/>
    <w:rsid w:val="00FB221A"/>
    <w:rsid w:val="01076AB8"/>
    <w:rsid w:val="01602D3E"/>
    <w:rsid w:val="01AB6D93"/>
    <w:rsid w:val="01D07FF5"/>
    <w:rsid w:val="01F2484E"/>
    <w:rsid w:val="02175697"/>
    <w:rsid w:val="021B4F38"/>
    <w:rsid w:val="021E5182"/>
    <w:rsid w:val="028D69F5"/>
    <w:rsid w:val="038B775E"/>
    <w:rsid w:val="03A11FF1"/>
    <w:rsid w:val="03C9676C"/>
    <w:rsid w:val="03DE45CC"/>
    <w:rsid w:val="03F6294B"/>
    <w:rsid w:val="04A17895"/>
    <w:rsid w:val="04B16F70"/>
    <w:rsid w:val="052E788C"/>
    <w:rsid w:val="059616C4"/>
    <w:rsid w:val="06CD579B"/>
    <w:rsid w:val="0723541B"/>
    <w:rsid w:val="076D75B0"/>
    <w:rsid w:val="078A5C11"/>
    <w:rsid w:val="080F0B18"/>
    <w:rsid w:val="08DC1988"/>
    <w:rsid w:val="08EA3D55"/>
    <w:rsid w:val="09531E6B"/>
    <w:rsid w:val="096D0ED3"/>
    <w:rsid w:val="098530E4"/>
    <w:rsid w:val="09D652A7"/>
    <w:rsid w:val="0A3F47CC"/>
    <w:rsid w:val="0BC07239"/>
    <w:rsid w:val="0CB340D3"/>
    <w:rsid w:val="0CEB7D76"/>
    <w:rsid w:val="0D1F5C10"/>
    <w:rsid w:val="0D966961"/>
    <w:rsid w:val="0DAB21E4"/>
    <w:rsid w:val="0DB572FB"/>
    <w:rsid w:val="0DB83E29"/>
    <w:rsid w:val="0DD1258D"/>
    <w:rsid w:val="0E8A2DB1"/>
    <w:rsid w:val="0E9E7093"/>
    <w:rsid w:val="0EC105F6"/>
    <w:rsid w:val="0F3247EC"/>
    <w:rsid w:val="10763554"/>
    <w:rsid w:val="10AF4100"/>
    <w:rsid w:val="10D83EAD"/>
    <w:rsid w:val="11401C48"/>
    <w:rsid w:val="11BE4326"/>
    <w:rsid w:val="12892999"/>
    <w:rsid w:val="130A7B21"/>
    <w:rsid w:val="14321F2A"/>
    <w:rsid w:val="14AD7661"/>
    <w:rsid w:val="150C2776"/>
    <w:rsid w:val="15B4236F"/>
    <w:rsid w:val="17500DA2"/>
    <w:rsid w:val="179373EB"/>
    <w:rsid w:val="17F07BA7"/>
    <w:rsid w:val="18783437"/>
    <w:rsid w:val="18C76F95"/>
    <w:rsid w:val="18E22C9E"/>
    <w:rsid w:val="18E412C4"/>
    <w:rsid w:val="193A64C1"/>
    <w:rsid w:val="19402627"/>
    <w:rsid w:val="19BF3EBB"/>
    <w:rsid w:val="19DA067F"/>
    <w:rsid w:val="1ABB2EDE"/>
    <w:rsid w:val="1C213B28"/>
    <w:rsid w:val="1C6040D1"/>
    <w:rsid w:val="1C89266F"/>
    <w:rsid w:val="1C8E5BDF"/>
    <w:rsid w:val="1CCF0DB9"/>
    <w:rsid w:val="1D3F099F"/>
    <w:rsid w:val="1D67705E"/>
    <w:rsid w:val="1DDE675A"/>
    <w:rsid w:val="1E7A351F"/>
    <w:rsid w:val="1EFC36F5"/>
    <w:rsid w:val="1F077126"/>
    <w:rsid w:val="1F984954"/>
    <w:rsid w:val="1FA91C9F"/>
    <w:rsid w:val="200D0BC9"/>
    <w:rsid w:val="217273D9"/>
    <w:rsid w:val="21AD19CC"/>
    <w:rsid w:val="22141712"/>
    <w:rsid w:val="22D10DDE"/>
    <w:rsid w:val="23303AB1"/>
    <w:rsid w:val="23BF473E"/>
    <w:rsid w:val="23FE7564"/>
    <w:rsid w:val="240B55F5"/>
    <w:rsid w:val="24227201"/>
    <w:rsid w:val="24C91073"/>
    <w:rsid w:val="25EC534D"/>
    <w:rsid w:val="25F3369D"/>
    <w:rsid w:val="26203FE7"/>
    <w:rsid w:val="26792FE4"/>
    <w:rsid w:val="2719666F"/>
    <w:rsid w:val="27957BE3"/>
    <w:rsid w:val="29AE54E7"/>
    <w:rsid w:val="2AB363EE"/>
    <w:rsid w:val="2AD31CBB"/>
    <w:rsid w:val="2BA54101"/>
    <w:rsid w:val="2BAD6479"/>
    <w:rsid w:val="2C6873D6"/>
    <w:rsid w:val="2CB5202E"/>
    <w:rsid w:val="2D1449C0"/>
    <w:rsid w:val="2D8E40C6"/>
    <w:rsid w:val="2D900295"/>
    <w:rsid w:val="2D942CEA"/>
    <w:rsid w:val="2E8E12F1"/>
    <w:rsid w:val="2ED11236"/>
    <w:rsid w:val="30554B14"/>
    <w:rsid w:val="30A731E1"/>
    <w:rsid w:val="30F7319D"/>
    <w:rsid w:val="31145639"/>
    <w:rsid w:val="31151525"/>
    <w:rsid w:val="328077C0"/>
    <w:rsid w:val="33275225"/>
    <w:rsid w:val="336E25B5"/>
    <w:rsid w:val="33A757AA"/>
    <w:rsid w:val="340B6192"/>
    <w:rsid w:val="3422393F"/>
    <w:rsid w:val="34272E85"/>
    <w:rsid w:val="3442114C"/>
    <w:rsid w:val="3451342C"/>
    <w:rsid w:val="34ED17AC"/>
    <w:rsid w:val="353353B6"/>
    <w:rsid w:val="36382D8F"/>
    <w:rsid w:val="3645262E"/>
    <w:rsid w:val="367542A3"/>
    <w:rsid w:val="3790773C"/>
    <w:rsid w:val="37C1335C"/>
    <w:rsid w:val="37EB618E"/>
    <w:rsid w:val="388A2BE6"/>
    <w:rsid w:val="38BF228A"/>
    <w:rsid w:val="38C936D5"/>
    <w:rsid w:val="395D3636"/>
    <w:rsid w:val="39A50519"/>
    <w:rsid w:val="3A067C83"/>
    <w:rsid w:val="3AB87B12"/>
    <w:rsid w:val="3B5B584D"/>
    <w:rsid w:val="3B633FAC"/>
    <w:rsid w:val="3BD81DDE"/>
    <w:rsid w:val="3BFD2BBF"/>
    <w:rsid w:val="3D354B47"/>
    <w:rsid w:val="3D511F55"/>
    <w:rsid w:val="3DA0468F"/>
    <w:rsid w:val="3ED5555C"/>
    <w:rsid w:val="3FAB73DD"/>
    <w:rsid w:val="3FBC09A2"/>
    <w:rsid w:val="3FFA19CD"/>
    <w:rsid w:val="407276DD"/>
    <w:rsid w:val="408C04CA"/>
    <w:rsid w:val="40EC5733"/>
    <w:rsid w:val="40FE7F4B"/>
    <w:rsid w:val="41627F03"/>
    <w:rsid w:val="41655E9D"/>
    <w:rsid w:val="41BF7E33"/>
    <w:rsid w:val="4281202F"/>
    <w:rsid w:val="42913C3F"/>
    <w:rsid w:val="42BE525A"/>
    <w:rsid w:val="435926AD"/>
    <w:rsid w:val="435B601E"/>
    <w:rsid w:val="43D352E0"/>
    <w:rsid w:val="441C37EE"/>
    <w:rsid w:val="441C694A"/>
    <w:rsid w:val="443E63FE"/>
    <w:rsid w:val="444C6B67"/>
    <w:rsid w:val="44EE3E5F"/>
    <w:rsid w:val="45136E76"/>
    <w:rsid w:val="455B2657"/>
    <w:rsid w:val="45B65644"/>
    <w:rsid w:val="460726A4"/>
    <w:rsid w:val="46882AF2"/>
    <w:rsid w:val="46A835FE"/>
    <w:rsid w:val="46BA471C"/>
    <w:rsid w:val="46F42E8E"/>
    <w:rsid w:val="4726282F"/>
    <w:rsid w:val="472773DC"/>
    <w:rsid w:val="47361227"/>
    <w:rsid w:val="47466C25"/>
    <w:rsid w:val="47565A47"/>
    <w:rsid w:val="47D84B77"/>
    <w:rsid w:val="4940628D"/>
    <w:rsid w:val="49AA545F"/>
    <w:rsid w:val="4A392559"/>
    <w:rsid w:val="4A65490B"/>
    <w:rsid w:val="4B512764"/>
    <w:rsid w:val="4B6E3138"/>
    <w:rsid w:val="4B7B2F28"/>
    <w:rsid w:val="4BE46B30"/>
    <w:rsid w:val="4C70750E"/>
    <w:rsid w:val="4CBE0786"/>
    <w:rsid w:val="4D9E1C82"/>
    <w:rsid w:val="4E5C2E9D"/>
    <w:rsid w:val="4E7D09C7"/>
    <w:rsid w:val="4ECD5CF2"/>
    <w:rsid w:val="4EDB18C4"/>
    <w:rsid w:val="4F017E4F"/>
    <w:rsid w:val="4F0872FE"/>
    <w:rsid w:val="4FAD000D"/>
    <w:rsid w:val="4FBE6A07"/>
    <w:rsid w:val="4FC57F6E"/>
    <w:rsid w:val="50024757"/>
    <w:rsid w:val="509D6A89"/>
    <w:rsid w:val="52970C0C"/>
    <w:rsid w:val="52D3757F"/>
    <w:rsid w:val="53AA2C52"/>
    <w:rsid w:val="53D97D7D"/>
    <w:rsid w:val="540F1EE4"/>
    <w:rsid w:val="541F1951"/>
    <w:rsid w:val="54285D67"/>
    <w:rsid w:val="5475427B"/>
    <w:rsid w:val="54A75F37"/>
    <w:rsid w:val="54D60AF0"/>
    <w:rsid w:val="56933E91"/>
    <w:rsid w:val="56A21F2D"/>
    <w:rsid w:val="56A732D6"/>
    <w:rsid w:val="57526794"/>
    <w:rsid w:val="57996FF9"/>
    <w:rsid w:val="580045CF"/>
    <w:rsid w:val="584D40EB"/>
    <w:rsid w:val="58ED6991"/>
    <w:rsid w:val="59865994"/>
    <w:rsid w:val="5A033AC0"/>
    <w:rsid w:val="5A6C5888"/>
    <w:rsid w:val="5AF326D7"/>
    <w:rsid w:val="5B3132A4"/>
    <w:rsid w:val="5BB123D5"/>
    <w:rsid w:val="5C3E7037"/>
    <w:rsid w:val="5D2F6DD6"/>
    <w:rsid w:val="5D525F65"/>
    <w:rsid w:val="5D6F00FD"/>
    <w:rsid w:val="5D777CA8"/>
    <w:rsid w:val="5E47631C"/>
    <w:rsid w:val="5E580BB9"/>
    <w:rsid w:val="5EA562C4"/>
    <w:rsid w:val="5EC70A3C"/>
    <w:rsid w:val="5EE20E4D"/>
    <w:rsid w:val="5F4226E5"/>
    <w:rsid w:val="5F59395A"/>
    <w:rsid w:val="5FA83642"/>
    <w:rsid w:val="5FE22C5B"/>
    <w:rsid w:val="60DC3BC4"/>
    <w:rsid w:val="61A40BC9"/>
    <w:rsid w:val="61CD4BE9"/>
    <w:rsid w:val="61D04943"/>
    <w:rsid w:val="622C319F"/>
    <w:rsid w:val="629A4DC4"/>
    <w:rsid w:val="62D802A2"/>
    <w:rsid w:val="631200B0"/>
    <w:rsid w:val="63242981"/>
    <w:rsid w:val="633A0887"/>
    <w:rsid w:val="63876853"/>
    <w:rsid w:val="647F0F0E"/>
    <w:rsid w:val="64C55235"/>
    <w:rsid w:val="6571366B"/>
    <w:rsid w:val="65BC519B"/>
    <w:rsid w:val="664B7400"/>
    <w:rsid w:val="66DB7BBD"/>
    <w:rsid w:val="66E01CEA"/>
    <w:rsid w:val="675D0764"/>
    <w:rsid w:val="67A86EF0"/>
    <w:rsid w:val="67B20267"/>
    <w:rsid w:val="67BD67FA"/>
    <w:rsid w:val="68030530"/>
    <w:rsid w:val="6812223B"/>
    <w:rsid w:val="685E65B5"/>
    <w:rsid w:val="689F67A5"/>
    <w:rsid w:val="68D31FB0"/>
    <w:rsid w:val="6976187D"/>
    <w:rsid w:val="69F46215"/>
    <w:rsid w:val="6A6752B5"/>
    <w:rsid w:val="6B734B24"/>
    <w:rsid w:val="6B8D74A2"/>
    <w:rsid w:val="6B8F1598"/>
    <w:rsid w:val="6CC70753"/>
    <w:rsid w:val="6DD17FC9"/>
    <w:rsid w:val="6E171847"/>
    <w:rsid w:val="6E4A371A"/>
    <w:rsid w:val="6F60059D"/>
    <w:rsid w:val="6F9131D8"/>
    <w:rsid w:val="6FA2016C"/>
    <w:rsid w:val="6FA24814"/>
    <w:rsid w:val="6FB515DC"/>
    <w:rsid w:val="6FB87583"/>
    <w:rsid w:val="6FFA7DDD"/>
    <w:rsid w:val="71016E50"/>
    <w:rsid w:val="71385C99"/>
    <w:rsid w:val="71513B8B"/>
    <w:rsid w:val="7188222D"/>
    <w:rsid w:val="71A36479"/>
    <w:rsid w:val="71AC228A"/>
    <w:rsid w:val="71EA36DF"/>
    <w:rsid w:val="72836EF9"/>
    <w:rsid w:val="733754F0"/>
    <w:rsid w:val="736301BD"/>
    <w:rsid w:val="739D2C77"/>
    <w:rsid w:val="74391129"/>
    <w:rsid w:val="7449305D"/>
    <w:rsid w:val="74B51F74"/>
    <w:rsid w:val="756B1846"/>
    <w:rsid w:val="75E45E3A"/>
    <w:rsid w:val="766E344D"/>
    <w:rsid w:val="76D21033"/>
    <w:rsid w:val="76F229FF"/>
    <w:rsid w:val="770E260F"/>
    <w:rsid w:val="78364B27"/>
    <w:rsid w:val="7870374A"/>
    <w:rsid w:val="79016ABE"/>
    <w:rsid w:val="790F4BE7"/>
    <w:rsid w:val="79474691"/>
    <w:rsid w:val="7AEB4813"/>
    <w:rsid w:val="7B2168A9"/>
    <w:rsid w:val="7B3B40D8"/>
    <w:rsid w:val="7B803CF9"/>
    <w:rsid w:val="7BBE6CE3"/>
    <w:rsid w:val="7C061D05"/>
    <w:rsid w:val="7D663FD5"/>
    <w:rsid w:val="7E69249E"/>
    <w:rsid w:val="7EC52487"/>
    <w:rsid w:val="7ECA67F3"/>
    <w:rsid w:val="7F5C27B3"/>
    <w:rsid w:val="7F952D07"/>
    <w:rsid w:val="7FBD74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黑体"/>
      <w:kern w:val="2"/>
      <w:sz w:val="21"/>
      <w:szCs w:val="24"/>
      <w:lang w:val="en-US" w:eastAsia="zh-CN" w:bidi="ar-SA"/>
    </w:rPr>
  </w:style>
  <w:style w:type="paragraph" w:styleId="3">
    <w:name w:val="heading 1"/>
    <w:basedOn w:val="1"/>
    <w:next w:val="1"/>
    <w:qFormat/>
    <w:uiPriority w:val="0"/>
    <w:pPr>
      <w:keepNext/>
      <w:keepLines/>
      <w:spacing w:line="576" w:lineRule="auto"/>
      <w:jc w:val="left"/>
      <w:outlineLvl w:val="0"/>
    </w:pPr>
    <w:rPr>
      <w:b/>
      <w:kern w:val="44"/>
      <w:sz w:val="24"/>
    </w:rPr>
  </w:style>
  <w:style w:type="paragraph" w:styleId="4">
    <w:name w:val="heading 2"/>
    <w:basedOn w:val="1"/>
    <w:next w:val="1"/>
    <w:link w:val="28"/>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line="413" w:lineRule="auto"/>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宋体" w:hAnsi="宋体" w:eastAsia="宋体" w:cstheme="minorBidi"/>
      <w:color w:val="000000"/>
      <w:sz w:val="24"/>
      <w:szCs w:val="22"/>
      <w:lang w:val="en-US" w:eastAsia="zh-CN" w:bidi="ar-SA"/>
    </w:rPr>
  </w:style>
  <w:style w:type="paragraph" w:styleId="6">
    <w:name w:val="Normal Indent"/>
    <w:basedOn w:val="1"/>
    <w:qFormat/>
    <w:uiPriority w:val="0"/>
    <w:pPr>
      <w:ind w:firstLine="420"/>
    </w:pPr>
    <w:rPr>
      <w:rFonts w:cs="Times New Roman"/>
    </w:rPr>
  </w:style>
  <w:style w:type="paragraph" w:styleId="7">
    <w:name w:val="annotation text"/>
    <w:basedOn w:val="1"/>
    <w:link w:val="34"/>
    <w:qFormat/>
    <w:uiPriority w:val="0"/>
    <w:pPr>
      <w:jc w:val="left"/>
    </w:pPr>
  </w:style>
  <w:style w:type="paragraph" w:styleId="8">
    <w:name w:val="Body Text"/>
    <w:basedOn w:val="1"/>
    <w:qFormat/>
    <w:uiPriority w:val="0"/>
  </w:style>
  <w:style w:type="paragraph" w:styleId="9">
    <w:name w:val="Plain Text"/>
    <w:basedOn w:val="1"/>
    <w:qFormat/>
    <w:uiPriority w:val="0"/>
    <w:rPr>
      <w:rFonts w:ascii="宋体" w:hAnsi="Courier New"/>
    </w:rPr>
  </w:style>
  <w:style w:type="paragraph" w:styleId="10">
    <w:name w:val="Balloon Text"/>
    <w:basedOn w:val="1"/>
    <w:link w:val="33"/>
    <w:qFormat/>
    <w:uiPriority w:val="0"/>
    <w:pPr>
      <w:spacing w:line="240" w:lineRule="auto"/>
    </w:pPr>
    <w:rPr>
      <w:sz w:val="18"/>
      <w:szCs w:val="18"/>
    </w:rPr>
  </w:style>
  <w:style w:type="paragraph" w:styleId="11">
    <w:name w:val="footer"/>
    <w:basedOn w:val="1"/>
    <w:qFormat/>
    <w:uiPriority w:val="0"/>
    <w:pPr>
      <w:tabs>
        <w:tab w:val="center" w:pos="4153"/>
        <w:tab w:val="right" w:pos="8306"/>
      </w:tabs>
      <w:snapToGrid w:val="0"/>
      <w:jc w:val="left"/>
    </w:pPr>
    <w:rPr>
      <w:kern w:val="0"/>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qFormat/>
    <w:uiPriority w:val="0"/>
    <w:pPr>
      <w:tabs>
        <w:tab w:val="right" w:leader="middleDot" w:pos="8296"/>
      </w:tabs>
      <w:spacing w:before="120"/>
      <w:jc w:val="left"/>
    </w:pPr>
    <w:rPr>
      <w:rFonts w:ascii="Cambria" w:hAnsi="Cambria"/>
      <w:b/>
      <w:bCs/>
      <w:caps/>
      <w:sz w:val="24"/>
    </w:r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annotation subject"/>
    <w:basedOn w:val="7"/>
    <w:next w:val="7"/>
    <w:link w:val="35"/>
    <w:qFormat/>
    <w:uiPriority w:val="0"/>
    <w:rPr>
      <w:b/>
      <w:bCs/>
    </w:rPr>
  </w:style>
  <w:style w:type="table" w:styleId="17">
    <w:name w:val="Table Grid"/>
    <w:basedOn w:val="1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annotation reference"/>
    <w:qFormat/>
    <w:uiPriority w:val="0"/>
    <w:rPr>
      <w:sz w:val="21"/>
      <w:szCs w:val="21"/>
    </w:rPr>
  </w:style>
  <w:style w:type="character" w:customStyle="1" w:styleId="21">
    <w:name w:val="unnamed21"/>
    <w:qFormat/>
    <w:uiPriority w:val="0"/>
    <w:rPr>
      <w:rFonts w:hint="eastAsia" w:ascii="宋体" w:hAnsi="宋体" w:eastAsia="宋体"/>
      <w:sz w:val="18"/>
      <w:szCs w:val="18"/>
      <w:u w:val="none"/>
    </w:rPr>
  </w:style>
  <w:style w:type="paragraph" w:customStyle="1" w:styleId="22">
    <w:name w:val="表格"/>
    <w:basedOn w:val="1"/>
    <w:qFormat/>
    <w:uiPriority w:val="0"/>
    <w:pPr>
      <w:tabs>
        <w:tab w:val="left" w:pos="360"/>
        <w:tab w:val="left" w:pos="6300"/>
      </w:tabs>
      <w:spacing w:line="400" w:lineRule="exact"/>
      <w:ind w:left="-57" w:right="-57"/>
      <w:jc w:val="center"/>
    </w:pPr>
    <w:rPr>
      <w:rFonts w:ascii="宋体" w:hAnsi="宋体"/>
      <w:color w:val="000000"/>
      <w:szCs w:val="20"/>
    </w:rPr>
  </w:style>
  <w:style w:type="character" w:customStyle="1" w:styleId="23">
    <w:name w:val="font31"/>
    <w:basedOn w:val="18"/>
    <w:qFormat/>
    <w:uiPriority w:val="0"/>
    <w:rPr>
      <w:rFonts w:hint="eastAsia" w:ascii="宋体" w:hAnsi="宋体" w:eastAsia="宋体" w:cs="宋体"/>
      <w:b/>
      <w:color w:val="000000"/>
      <w:sz w:val="21"/>
      <w:szCs w:val="21"/>
      <w:u w:val="none"/>
      <w:vertAlign w:val="subscript"/>
    </w:rPr>
  </w:style>
  <w:style w:type="character" w:customStyle="1" w:styleId="24">
    <w:name w:val="font11"/>
    <w:basedOn w:val="18"/>
    <w:qFormat/>
    <w:uiPriority w:val="0"/>
    <w:rPr>
      <w:rFonts w:hint="eastAsia" w:ascii="宋体" w:hAnsi="宋体" w:eastAsia="宋体" w:cs="宋体"/>
      <w:b/>
      <w:color w:val="000000"/>
      <w:sz w:val="21"/>
      <w:szCs w:val="21"/>
      <w:u w:val="none"/>
    </w:rPr>
  </w:style>
  <w:style w:type="paragraph" w:customStyle="1" w:styleId="25">
    <w:name w:val="列出段落1"/>
    <w:basedOn w:val="1"/>
    <w:qFormat/>
    <w:uiPriority w:val="34"/>
    <w:pPr>
      <w:ind w:firstLine="420" w:firstLineChars="200"/>
    </w:pPr>
  </w:style>
  <w:style w:type="paragraph" w:customStyle="1" w:styleId="26">
    <w:name w:val="_Style 2"/>
    <w:basedOn w:val="1"/>
    <w:qFormat/>
    <w:uiPriority w:val="34"/>
    <w:pPr>
      <w:ind w:firstLine="420" w:firstLineChars="200"/>
    </w:pPr>
    <w:rPr>
      <w:szCs w:val="22"/>
    </w:rPr>
  </w:style>
  <w:style w:type="paragraph" w:customStyle="1" w:styleId="27">
    <w:name w:val="WPSOffice手动目录 1"/>
    <w:qFormat/>
    <w:uiPriority w:val="0"/>
    <w:rPr>
      <w:rFonts w:ascii="Times New Roman" w:hAnsi="Times New Roman" w:eastAsia="宋体" w:cs="Times New Roman"/>
      <w:lang w:val="en-US" w:eastAsia="zh-CN" w:bidi="ar-SA"/>
    </w:rPr>
  </w:style>
  <w:style w:type="character" w:customStyle="1" w:styleId="28">
    <w:name w:val="标题 2 Char"/>
    <w:link w:val="4"/>
    <w:qFormat/>
    <w:uiPriority w:val="0"/>
    <w:rPr>
      <w:rFonts w:ascii="Arial" w:hAnsi="Arial" w:eastAsia="黑体"/>
      <w:b/>
      <w:sz w:val="32"/>
    </w:rPr>
  </w:style>
  <w:style w:type="paragraph" w:customStyle="1" w:styleId="29">
    <w:name w:val="表格（5号）"/>
    <w:basedOn w:val="1"/>
    <w:qFormat/>
    <w:uiPriority w:val="0"/>
    <w:pPr>
      <w:spacing w:line="360" w:lineRule="exact"/>
      <w:ind w:left="-63" w:leftChars="-30" w:right="-63"/>
      <w:jc w:val="center"/>
    </w:pPr>
    <w:rPr>
      <w:rFonts w:ascii="Arial" w:hAnsi="Arial"/>
      <w:color w:val="000000"/>
      <w:sz w:val="18"/>
    </w:rPr>
  </w:style>
  <w:style w:type="paragraph" w:customStyle="1" w:styleId="30">
    <w:name w:val="表格正文"/>
    <w:basedOn w:val="8"/>
    <w:qFormat/>
    <w:uiPriority w:val="0"/>
    <w:pPr>
      <w:adjustRightInd w:val="0"/>
      <w:snapToGrid w:val="0"/>
      <w:jc w:val="center"/>
    </w:pPr>
    <w:rPr>
      <w:rFonts w:ascii="Times New Roman"/>
      <w:kern w:val="21"/>
      <w:szCs w:val="21"/>
    </w:rPr>
  </w:style>
  <w:style w:type="paragraph" w:customStyle="1" w:styleId="31">
    <w:name w:val="样式 正文(首行缩进) + 首行缩进:  2 字符"/>
    <w:basedOn w:val="32"/>
    <w:qFormat/>
    <w:uiPriority w:val="0"/>
    <w:pPr>
      <w:tabs>
        <w:tab w:val="left" w:pos="4584"/>
      </w:tabs>
      <w:ind w:firstLine="480"/>
    </w:pPr>
    <w:rPr>
      <w:rFonts w:cs="宋体"/>
      <w:color w:val="000000"/>
      <w:szCs w:val="20"/>
    </w:rPr>
  </w:style>
  <w:style w:type="paragraph" w:customStyle="1" w:styleId="32">
    <w:name w:val="正文(首行缩进)"/>
    <w:basedOn w:val="1"/>
    <w:qFormat/>
    <w:uiPriority w:val="99"/>
    <w:pPr>
      <w:tabs>
        <w:tab w:val="left" w:pos="4584"/>
      </w:tabs>
      <w:adjustRightInd w:val="0"/>
      <w:snapToGrid w:val="0"/>
      <w:ind w:firstLine="200" w:firstLineChars="200"/>
    </w:pPr>
    <w:rPr>
      <w:bCs/>
      <w:snapToGrid w:val="0"/>
      <w:kern w:val="0"/>
      <w:sz w:val="24"/>
    </w:rPr>
  </w:style>
  <w:style w:type="character" w:customStyle="1" w:styleId="33">
    <w:name w:val="批注框文本 Char"/>
    <w:basedOn w:val="18"/>
    <w:link w:val="10"/>
    <w:qFormat/>
    <w:uiPriority w:val="0"/>
    <w:rPr>
      <w:rFonts w:ascii="Calibri" w:hAnsi="Calibri" w:cs="黑体"/>
      <w:kern w:val="2"/>
      <w:sz w:val="18"/>
      <w:szCs w:val="18"/>
    </w:rPr>
  </w:style>
  <w:style w:type="character" w:customStyle="1" w:styleId="34">
    <w:name w:val="批注文字 Char"/>
    <w:basedOn w:val="18"/>
    <w:link w:val="7"/>
    <w:uiPriority w:val="0"/>
    <w:rPr>
      <w:rFonts w:ascii="Calibri" w:hAnsi="Calibri" w:cs="黑体"/>
      <w:kern w:val="2"/>
      <w:sz w:val="21"/>
      <w:szCs w:val="24"/>
    </w:rPr>
  </w:style>
  <w:style w:type="character" w:customStyle="1" w:styleId="35">
    <w:name w:val="批注主题 Char"/>
    <w:basedOn w:val="34"/>
    <w:link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png"/><Relationship Id="rId24" Type="http://schemas.openxmlformats.org/officeDocument/2006/relationships/image" Target="media/image5.emf"/><Relationship Id="rId23" Type="http://schemas.openxmlformats.org/officeDocument/2006/relationships/oleObject" Target="embeddings/oleObject2.bin"/><Relationship Id="rId22" Type="http://schemas.openxmlformats.org/officeDocument/2006/relationships/image" Target="media/image4.emf"/><Relationship Id="rId21" Type="http://schemas.openxmlformats.org/officeDocument/2006/relationships/oleObject" Target="embeddings/oleObject1.bin"/><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0"/>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3725</Words>
  <Characters>21238</Characters>
  <Lines>176</Lines>
  <Paragraphs>49</Paragraphs>
  <TotalTime>4</TotalTime>
  <ScaleCrop>false</ScaleCrop>
  <LinksUpToDate>false</LinksUpToDate>
  <CharactersWithSpaces>24914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2017-07-16T01:00:00Z</dcterms:created>
  <dc:creator>Administrator</dc:creator>
  <cp:lastModifiedBy>张婷</cp:lastModifiedBy>
  <cp:lastPrinted>2020-06-05T09:57:00Z</cp:lastPrinted>
  <dcterms:modified xsi:type="dcterms:W3CDTF">2020-06-28T06:56:39Z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